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版本号：SXKKSYFGS2025-5220251109001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三原县鲁桥镇乡村道路及生产路建设项目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SXKKSYFGS2025-52</w:t>
      </w:r>
      <w:r>
        <w:br/>
      </w:r>
      <w:r>
        <w:br/>
      </w:r>
      <w:r>
        <w:br/>
      </w:r>
    </w:p>
    <w:p>
      <w:pPr>
        <w:pStyle w:val="null3"/>
        <w:jc w:val="center"/>
        <w:outlineLvl w:val="2"/>
      </w:pPr>
      <w:r>
        <w:rPr>
          <w:rFonts w:ascii="仿宋_GB2312" w:hAnsi="仿宋_GB2312" w:cs="仿宋_GB2312" w:eastAsia="仿宋_GB2312"/>
          <w:sz w:val="28"/>
          <w:b/>
        </w:rPr>
        <w:t>三原县鲁桥镇人民政府</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三原县鲁桥镇人民政府</w:t>
      </w:r>
      <w:r>
        <w:rPr>
          <w:rFonts w:ascii="仿宋_GB2312" w:hAnsi="仿宋_GB2312" w:cs="仿宋_GB2312" w:eastAsia="仿宋_GB2312"/>
        </w:rPr>
        <w:t>委托，拟对</w:t>
      </w:r>
      <w:r>
        <w:rPr>
          <w:rFonts w:ascii="仿宋_GB2312" w:hAnsi="仿宋_GB2312" w:cs="仿宋_GB2312" w:eastAsia="仿宋_GB2312"/>
        </w:rPr>
        <w:t>三原县鲁桥镇乡村道路及生产路建设项目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SXKKSYFGS2025-52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三原县鲁桥镇乡村道路及生产路建设项目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本项目涉及三原县鲁桥镇下设的坊南村、孟店村，实施的项目内容为：乡村道路及生产路建设项目。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采购包1（三原县鲁桥镇乡村道路及生产路建设项目）：属于专门面向中小企业采购。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1、公司资质：具备公路工程或市政公用工程施工总承包三级（含三级）及以上资质。具备 有效的安全生产许可证。</w:t>
      </w:r>
    </w:p>
    <w:p>
      <w:pPr>
        <w:pStyle w:val="null3"/>
      </w:pPr>
      <w:r>
        <w:rPr>
          <w:rFonts w:ascii="仿宋_GB2312" w:hAnsi="仿宋_GB2312" w:cs="仿宋_GB2312" w:eastAsia="仿宋_GB2312"/>
        </w:rPr>
        <w:t>2、营业执照及主体资格：独立承担民事责任的法人或其他组织有效的营业执照（或统一社会信用代码的营业执照）等相应证明文件，自然人的提供身份证明文件；</w:t>
      </w:r>
    </w:p>
    <w:p>
      <w:pPr>
        <w:pStyle w:val="null3"/>
      </w:pPr>
      <w:r>
        <w:rPr>
          <w:rFonts w:ascii="仿宋_GB2312" w:hAnsi="仿宋_GB2312" w:cs="仿宋_GB2312" w:eastAsia="仿宋_GB2312"/>
        </w:rPr>
        <w:t>3、法定代表人授权委托书：法定代表人或负责人参加投标时，提供本人身份证，并与营业执照中法定代表人或负责人信息相符；授权代表参加投标时，提供授权书和被授权人身份证；</w:t>
      </w:r>
    </w:p>
    <w:p>
      <w:pPr>
        <w:pStyle w:val="null3"/>
      </w:pPr>
      <w:r>
        <w:rPr>
          <w:rFonts w:ascii="仿宋_GB2312" w:hAnsi="仿宋_GB2312" w:cs="仿宋_GB2312" w:eastAsia="仿宋_GB2312"/>
        </w:rPr>
        <w:t>4、拟派项目负责人：具备公路工程或市政公用工程专业二级及以上注册建造师执业资格，并具备相应有效的安全生产考核合格证书，须在本单位注册，且未担任其他在建工程项目的项目经理（提供项目经理无在建工程承诺书）；</w:t>
      </w:r>
    </w:p>
    <w:p>
      <w:pPr>
        <w:pStyle w:val="null3"/>
      </w:pPr>
      <w:r>
        <w:rPr>
          <w:rFonts w:ascii="仿宋_GB2312" w:hAnsi="仿宋_GB2312" w:cs="仿宋_GB2312" w:eastAsia="仿宋_GB2312"/>
        </w:rPr>
        <w:t>5、财务状况报告：提供2023年度或2024年度经审计的财务报告（成立时间至提交响应文件截止时间 不足一年的可提供成立后任意时段的资产负债表），或其开标前三个月内银行出具 的资信证明，（以上两种形式的资料提供任何一种即可）</w:t>
      </w:r>
    </w:p>
    <w:p>
      <w:pPr>
        <w:pStyle w:val="null3"/>
      </w:pPr>
      <w:r>
        <w:rPr>
          <w:rFonts w:ascii="仿宋_GB2312" w:hAnsi="仿宋_GB2312" w:cs="仿宋_GB2312" w:eastAsia="仿宋_GB2312"/>
        </w:rPr>
        <w:t>6、税收缴纳证准明：提供2024年11月至今已缴纳的至少一个月的纳税证明或完税证明（时间以税款所属日期为准、税种须包含增值税或企业所得税），依法免税的单位应提供相关证明材料。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7、社会保障资金缴纳证明：提供2024年11月至今已缴存的至少一个月的社会保障资金缴存单据或社保机构开具的社会保险参保缴费情况证明，依法不需要缴纳社会保障资金的单位应提供相关证明材料。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8、信用中国：不得为“信用中国”网站(http://www.creditchina.gov.cn)列入“失信被执行人（ 页面跳转至“中国执行信息公开网”http://zxgk.court.gov.cn/shixin/）、重大税 收违法失信主体、政府采购严重违法失信行为记录名单”的供应商；不得为中国政 府采购网(http://www.ccgp.gov.cn)“政府采购严重违法失信行为记录名单”中的 供应商；</w:t>
      </w:r>
    </w:p>
    <w:p>
      <w:pPr>
        <w:pStyle w:val="null3"/>
      </w:pPr>
      <w:r>
        <w:rPr>
          <w:rFonts w:ascii="仿宋_GB2312" w:hAnsi="仿宋_GB2312" w:cs="仿宋_GB2312" w:eastAsia="仿宋_GB2312"/>
        </w:rPr>
        <w:t>9、非联合体声明：本项目不接受联合体投标，单位负责人为同一人或者存在直接控股、管理关系的不 同投标人，不得参加同一合同项下的政府采购活动（提供非联合体投标声明，包括 控股管理声明）</w:t>
      </w:r>
    </w:p>
    <w:p>
      <w:pPr>
        <w:pStyle w:val="null3"/>
      </w:pPr>
      <w:r>
        <w:rPr>
          <w:rFonts w:ascii="仿宋_GB2312" w:hAnsi="仿宋_GB2312" w:cs="仿宋_GB2312" w:eastAsia="仿宋_GB2312"/>
        </w:rPr>
        <w:t>10、重大违法声明：供应商参加采购活动近3年内经营活动中没有重大违法记录声明，以及未被列入失信被执行人、重大税收违法案件当事人名单、政府采购严重违法失信行为记录名单的书面声明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三原县鲁桥镇人民政府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陕西省三原县鲁桥镇东街村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三原县鲁桥镇人民政府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18182530551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采购包1：1,700,460.62元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三原县鲁桥镇人民政府</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三原县鲁桥镇人民政府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三原县鲁桥镇人民政府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1,700,460.62</w:t>
      </w:r>
    </w:p>
    <w:p>
      <w:pPr>
        <w:pStyle w:val="null3"/>
      </w:pPr>
      <w:r>
        <w:rPr>
          <w:rFonts w:ascii="仿宋_GB2312" w:hAnsi="仿宋_GB2312" w:cs="仿宋_GB2312" w:eastAsia="仿宋_GB2312"/>
        </w:rPr>
        <w:t>采购包最高限价（元）: 1,700,460.62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三原县鲁桥镇乡村道路及生产路建设项目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1,700,460.62</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标的名称：三原县鲁桥镇乡村道路及生产路建设项目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一、总体要求</w:t>
            </w:r>
          </w:p>
          <w:p>
            <w:pPr>
              <w:pStyle w:val="null3"/>
              <w:jc w:val="both"/>
            </w:pPr>
            <w:r>
              <w:rPr>
                <w:rFonts w:ascii="仿宋_GB2312" w:hAnsi="仿宋_GB2312" w:cs="仿宋_GB2312" w:eastAsia="仿宋_GB2312"/>
                <w:sz w:val="16"/>
              </w:rPr>
              <w:t xml:space="preserve">  项目建设需符合现行行业标准及相关政策要求，适配乡村道路与生产路使用场景，满足农用车辆通行、农业生产运输等核心需求，兼顾经济性与耐久性。</w:t>
            </w:r>
          </w:p>
          <w:p>
            <w:pPr>
              <w:pStyle w:val="null3"/>
              <w:jc w:val="both"/>
            </w:pPr>
            <w:r>
              <w:rPr>
                <w:rFonts w:ascii="仿宋_GB2312" w:hAnsi="仿宋_GB2312" w:cs="仿宋_GB2312" w:eastAsia="仿宋_GB2312"/>
                <w:sz w:val="16"/>
              </w:rPr>
              <w:t>二、路基工程技术参数与性能指标</w:t>
            </w:r>
          </w:p>
          <w:p>
            <w:pPr>
              <w:pStyle w:val="null3"/>
              <w:jc w:val="both"/>
            </w:pPr>
            <w:r>
              <w:rPr>
                <w:rFonts w:ascii="仿宋_GB2312" w:hAnsi="仿宋_GB2312" w:cs="仿宋_GB2312" w:eastAsia="仿宋_GB2312"/>
                <w:sz w:val="16"/>
              </w:rPr>
              <w:t>（一）路基处理</w:t>
            </w:r>
          </w:p>
          <w:p>
            <w:pPr>
              <w:pStyle w:val="null3"/>
              <w:jc w:val="both"/>
            </w:pPr>
            <w:r>
              <w:rPr>
                <w:rFonts w:ascii="仿宋_GB2312" w:hAnsi="仿宋_GB2312" w:cs="仿宋_GB2312" w:eastAsia="仿宋_GB2312"/>
                <w:sz w:val="16"/>
              </w:rPr>
              <w:t xml:space="preserve">  清除地表杂草、腐殖土等不合格土层，确保基底无软弱夹层。对特殊地质路段采取换填、回填等处理措施，换填材料选用级配合理的碎石或级配砂石，回填过程分层实施并压实。路基压实度需达到重型击实标准要求，碾压后表面平整、无明显轮迹，无弹簧、起皮等质量缺陷，能有效承载路面结构及通行荷载。</w:t>
            </w:r>
          </w:p>
          <w:p>
            <w:pPr>
              <w:pStyle w:val="null3"/>
              <w:jc w:val="both"/>
            </w:pPr>
            <w:r>
              <w:rPr>
                <w:rFonts w:ascii="仿宋_GB2312" w:hAnsi="仿宋_GB2312" w:cs="仿宋_GB2312" w:eastAsia="仿宋_GB2312"/>
                <w:sz w:val="16"/>
              </w:rPr>
              <w:t>（二）路基防护与排水</w:t>
            </w:r>
          </w:p>
          <w:p>
            <w:pPr>
              <w:pStyle w:val="null3"/>
              <w:jc w:val="both"/>
            </w:pPr>
            <w:r>
              <w:rPr>
                <w:rFonts w:ascii="仿宋_GB2312" w:hAnsi="仿宋_GB2312" w:cs="仿宋_GB2312" w:eastAsia="仿宋_GB2312"/>
                <w:sz w:val="16"/>
              </w:rPr>
              <w:t xml:space="preserve">  结合路段地形条件设置必要的防护设施，避免路基边坡坍塌、冲刷。道路沿线配套建设排水设施，确保排水顺畅，无积水现象，防止路基受水侵害影响稳定性。路基顶面标高、宽度偏差符合行业规范，平整度满足后续路面施工要求。</w:t>
            </w:r>
          </w:p>
          <w:p>
            <w:pPr>
              <w:pStyle w:val="null3"/>
              <w:jc w:val="both"/>
            </w:pPr>
            <w:r>
              <w:rPr>
                <w:rFonts w:ascii="仿宋_GB2312" w:hAnsi="仿宋_GB2312" w:cs="仿宋_GB2312" w:eastAsia="仿宋_GB2312"/>
                <w:sz w:val="16"/>
              </w:rPr>
              <w:t>三、路面工程技术参数与性能指标</w:t>
            </w:r>
          </w:p>
          <w:p>
            <w:pPr>
              <w:pStyle w:val="null3"/>
              <w:jc w:val="both"/>
            </w:pPr>
            <w:r>
              <w:rPr>
                <w:rFonts w:ascii="仿宋_GB2312" w:hAnsi="仿宋_GB2312" w:cs="仿宋_GB2312" w:eastAsia="仿宋_GB2312"/>
                <w:sz w:val="16"/>
              </w:rPr>
              <w:t>（一）沥青混凝土路面</w:t>
            </w:r>
          </w:p>
          <w:p>
            <w:pPr>
              <w:pStyle w:val="null3"/>
              <w:jc w:val="both"/>
            </w:pPr>
            <w:r>
              <w:rPr>
                <w:rFonts w:ascii="仿宋_GB2312" w:hAnsi="仿宋_GB2312" w:cs="仿宋_GB2312" w:eastAsia="仿宋_GB2312"/>
                <w:sz w:val="16"/>
              </w:rPr>
              <w:t xml:space="preserve">  沥青混凝土材料需选用符合公路工程标准的合格产品，级配组成合理，粘结性能良好。路面摊铺均匀、压实密实，表面平整光滑，无裂缝、松散、推移等病害。路面抗滑性能达标，能保障车辆在不同天气条件下安全通行；耐磨性能优良，可承受日常通行磨损及农业生产运输带来的负荷。</w:t>
            </w:r>
          </w:p>
          <w:p>
            <w:pPr>
              <w:pStyle w:val="null3"/>
              <w:jc w:val="both"/>
            </w:pPr>
            <w:r>
              <w:rPr>
                <w:rFonts w:ascii="仿宋_GB2312" w:hAnsi="仿宋_GB2312" w:cs="仿宋_GB2312" w:eastAsia="仿宋_GB2312"/>
                <w:sz w:val="16"/>
              </w:rPr>
              <w:t>（二）水泥混凝土路面</w:t>
            </w:r>
          </w:p>
          <w:p>
            <w:pPr>
              <w:pStyle w:val="null3"/>
              <w:jc w:val="both"/>
            </w:pPr>
            <w:r>
              <w:rPr>
                <w:rFonts w:ascii="仿宋_GB2312" w:hAnsi="仿宋_GB2312" w:cs="仿宋_GB2312" w:eastAsia="仿宋_GB2312"/>
                <w:sz w:val="16"/>
              </w:rPr>
              <w:t xml:space="preserve">  材料要求：水泥混凝土强度等级符合指定标准，选用的水泥、砂石、外加剂等原材料均需合格，配合比设计科学合理，确保混凝土具有良好的工作性、强度及耐久性。</w:t>
            </w:r>
          </w:p>
          <w:p>
            <w:pPr>
              <w:pStyle w:val="null3"/>
              <w:jc w:val="both"/>
            </w:pPr>
            <w:r>
              <w:rPr>
                <w:rFonts w:ascii="仿宋_GB2312" w:hAnsi="仿宋_GB2312" w:cs="仿宋_GB2312" w:eastAsia="仿宋_GB2312"/>
                <w:sz w:val="16"/>
              </w:rPr>
              <w:t xml:space="preserve">  结构与施工：路面结构厚度均匀一致，摊铺后振捣密实，表面平整，无露骨、蜂窝、麻面等质量问题。按规范要求设置缩缝，缩缝切割顺直、深度达标，缝内清理干净。</w:t>
            </w:r>
          </w:p>
          <w:p>
            <w:pPr>
              <w:pStyle w:val="null3"/>
              <w:jc w:val="both"/>
            </w:pPr>
            <w:r>
              <w:rPr>
                <w:rFonts w:ascii="仿宋_GB2312" w:hAnsi="仿宋_GB2312" w:cs="仿宋_GB2312" w:eastAsia="仿宋_GB2312"/>
                <w:sz w:val="16"/>
              </w:rPr>
              <w:t xml:space="preserve">  养护要求：采用塑料膜全幅覆盖养护，确保养护期间混凝土表面保持湿润，防止水分蒸发过快导致裂缝。养护期间禁止车辆通行及外力扰动，保障混凝土强度正常增长。</w:t>
            </w:r>
          </w:p>
          <w:p>
            <w:pPr>
              <w:pStyle w:val="null3"/>
              <w:jc w:val="both"/>
            </w:pPr>
            <w:r>
              <w:rPr>
                <w:rFonts w:ascii="仿宋_GB2312" w:hAnsi="仿宋_GB2312" w:cs="仿宋_GB2312" w:eastAsia="仿宋_GB2312"/>
                <w:sz w:val="16"/>
              </w:rPr>
              <w:t>四、安全与使用性能指标</w:t>
            </w:r>
          </w:p>
          <w:p>
            <w:pPr>
              <w:pStyle w:val="null3"/>
              <w:jc w:val="both"/>
            </w:pPr>
            <w:r>
              <w:rPr>
                <w:rFonts w:ascii="仿宋_GB2312" w:hAnsi="仿宋_GB2312" w:cs="仿宋_GB2312" w:eastAsia="仿宋_GB2312"/>
                <w:sz w:val="16"/>
              </w:rPr>
              <w:t>（一）通行安全</w:t>
            </w:r>
          </w:p>
          <w:p>
            <w:pPr>
              <w:pStyle w:val="null3"/>
              <w:jc w:val="both"/>
            </w:pPr>
            <w:r>
              <w:rPr>
                <w:rFonts w:ascii="仿宋_GB2312" w:hAnsi="仿宋_GB2312" w:cs="仿宋_GB2312" w:eastAsia="仿宋_GB2312"/>
                <w:sz w:val="16"/>
              </w:rPr>
              <w:t xml:space="preserve">  道路线形符合设计规范，平面线形组合合理，与周边地形、环境适配。急弯、陡坡等危险路段需设置相应的安全警示设施，临崖、临沟路段根据实际情况增设防护设施，保障通行安全。</w:t>
            </w:r>
          </w:p>
          <w:p>
            <w:pPr>
              <w:pStyle w:val="null3"/>
              <w:jc w:val="both"/>
            </w:pPr>
            <w:r>
              <w:rPr>
                <w:rFonts w:ascii="仿宋_GB2312" w:hAnsi="仿宋_GB2312" w:cs="仿宋_GB2312" w:eastAsia="仿宋_GB2312"/>
                <w:sz w:val="16"/>
              </w:rPr>
              <w:t>（二）使用耐久性</w:t>
            </w:r>
          </w:p>
          <w:p>
            <w:pPr>
              <w:pStyle w:val="null3"/>
              <w:jc w:val="both"/>
            </w:pPr>
            <w:r>
              <w:rPr>
                <w:rFonts w:ascii="仿宋_GB2312" w:hAnsi="仿宋_GB2312" w:cs="仿宋_GB2312" w:eastAsia="仿宋_GB2312"/>
                <w:sz w:val="16"/>
              </w:rPr>
              <w:t xml:space="preserve">  路面结构具有足够的承载能力，能长期承受农用车辆及日常通行荷载，无明显沉陷、断裂等病害。混凝土路面抗冻、抗渗性能达标，沥青路面抗老化、抗水损害能力符合要求，使用寿命满足乡村道路使用年限规定。</w:t>
            </w:r>
          </w:p>
          <w:p>
            <w:pPr>
              <w:pStyle w:val="null3"/>
              <w:jc w:val="both"/>
            </w:pPr>
            <w:r>
              <w:rPr>
                <w:rFonts w:ascii="仿宋_GB2312" w:hAnsi="仿宋_GB2312" w:cs="仿宋_GB2312" w:eastAsia="仿宋_GB2312"/>
                <w:sz w:val="16"/>
              </w:rPr>
              <w:t>（三）便民适配</w:t>
            </w:r>
          </w:p>
          <w:p>
            <w:pPr>
              <w:pStyle w:val="null3"/>
              <w:jc w:val="both"/>
            </w:pPr>
            <w:r>
              <w:rPr>
                <w:rFonts w:ascii="仿宋_GB2312" w:hAnsi="仿宋_GB2312" w:cs="仿宋_GB2312" w:eastAsia="仿宋_GB2312"/>
                <w:sz w:val="16"/>
              </w:rPr>
              <w:t xml:space="preserve">  施工过程中需预留临时通道，保障村民出行及农业生产运输不受严重影响。道路宽度、平整度等指标适配农业机械通行及农产品运输需求，生产路需重点满足田间作业运输的实用性要求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具备公路工程或市政公用工程施工总承包三级（含三级）及以上资质。具备 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独立承担民事责任的法人或其他组织有效的营业执照（或统一社会信用代码的营业执照）等相应证明文件，自然人的提供身份证明文件；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法定代表人或负责人参加投标时，提供本人身份证，并与营业执照中法定代表人或负责人信息相符；授权代表参加投标时，提供授权书和被授权人身份证；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具备公路工程或市政公用工程专业二级及以上注册建造师执业资格，并具备相应有效的安全生产考核合格证书，须在本单位注册，且未担任其他在建工程项目的项目经理（提供项目经理无在建工程承诺书）；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 不足一年的可提供成立后任意时段的资产负债表），或其开标前三个月内银行出具 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税收缴纳证准明</w:t>
            </w:r>
          </w:p>
        </w:tc>
        <w:tc>
          <w:tcPr>
            <w:tcW w:type="dxa" w:w="3322"/>
          </w:tcPr>
          <w:p>
            <w:pPr>
              <w:pStyle w:val="null3"/>
            </w:pPr>
            <w:r>
              <w:rPr>
                <w:rFonts w:ascii="仿宋_GB2312" w:hAnsi="仿宋_GB2312" w:cs="仿宋_GB2312" w:eastAsia="仿宋_GB2312"/>
              </w:rPr>
              <w:t>提供2024年11月至今已缴纳的至少一个月的纳税证明或完税证明（时间以税款所属日期为准、税种须包含增值税或企业所得税），依法免税的单位应提供相关证明材料。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不得为“信用中国”网站(http://www.creditchina.gov.cn)列入“失信被执行人（ 页面跳转至“中国执行信息公开网”http://zxgk.court.gov.cn/shixin/）、重大税 收违法失信主体、政府采购严重违法失信行为记录名单”的供应商；不得为中国政 府采购网(http://www.ccgp.gov.cn)“政府采购严重违法失信行为记录名单”中的 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 同投标人，不得参加同一合同项下的政府采购活动（提供非联合体投标声明，包括 控股管理声明）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方案说明书.docx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 方案</w:t>
            </w:r>
          </w:p>
        </w:tc>
        <w:tc>
          <w:tcPr>
            <w:tcW w:type="dxa" w:w="2492"/>
          </w:tcPr>
          <w:p>
            <w:pPr>
              <w:pStyle w:val="null3"/>
            </w:pPr>
            <w:r>
              <w:rPr>
                <w:rFonts w:ascii="仿宋_GB2312" w:hAnsi="仿宋_GB2312" w:cs="仿宋_GB2312" w:eastAsia="仿宋_GB2312"/>
              </w:rPr>
              <w:t>针对本项目提供的项目施工方案，内容包括但不限于①前期筹备全面部署②施工流程科 学规划及成本控制精准高③安全管理全程覆盖 ④工程质量保证措施⑤施工机械设备配备 ⑥劳动力计划及主要材料供应计划计划效评审标准：方案内容详细完整、针对性强、可 行性高，符合项目实际要求。每项满分2分，缺项不得分，每项内容存在缺陷扣1分。 缺陷是指内容不合理、虽有内容但不完善、内容表述前后不一致、套用其他项目方案或 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 管理 机构 及项 目经 理部 组成</w:t>
            </w:r>
          </w:p>
        </w:tc>
        <w:tc>
          <w:tcPr>
            <w:tcW w:type="dxa" w:w="2492"/>
          </w:tcPr>
          <w:p>
            <w:pPr>
              <w:pStyle w:val="null3"/>
            </w:pPr>
            <w:r>
              <w:rPr>
                <w:rFonts w:ascii="仿宋_GB2312" w:hAnsi="仿宋_GB2312" w:cs="仿宋_GB2312" w:eastAsia="仿宋_GB2312"/>
              </w:rPr>
              <w:t>针对本项目提供的项目管理机构及项目经理部组成，内容包括但不限于①项目管理机构 ②项目经理部组成③专业化项目经理部组建原则评审标准：方案内容详细完整、针对性 强、可行性高，符合项目实际要求。每项满分2分，缺项不得分，每项内容存在缺陷扣 1分。缺陷是指内容不合理、虽有内容但不完善、内容表述前后不一致、套用其他项目 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 安全 生产 的技 术组 织措 施及 应急 预案</w:t>
            </w:r>
          </w:p>
        </w:tc>
        <w:tc>
          <w:tcPr>
            <w:tcW w:type="dxa" w:w="2492"/>
          </w:tcPr>
          <w:p>
            <w:pPr>
              <w:pStyle w:val="null3"/>
            </w:pPr>
            <w:r>
              <w:rPr>
                <w:rFonts w:ascii="仿宋_GB2312" w:hAnsi="仿宋_GB2312" w:cs="仿宋_GB2312" w:eastAsia="仿宋_GB2312"/>
              </w:rPr>
              <w:t>针对本项目确保安全生产的技术组织措施及应急预案，内容包括但不限于①确保安全生 产的技术组织措施②应急预案③危险源分级管控与技术防护体系④安全防护与文明施工 措施⑤多场景应急处置预案与演练机制评审标准：方案内容详细完整、针对性强、可行 性高，符合项目实际要求。每项满分2分，缺项不得分，每项内容存在缺陷扣1分。缺 陷是指内容不合理、虽有内容但不完善、内容表述前后不一致、套用其他项目方案或与 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 文明 施工 的技 术措 施及 环境 保护 措施</w:t>
            </w:r>
          </w:p>
        </w:tc>
        <w:tc>
          <w:tcPr>
            <w:tcW w:type="dxa" w:w="2492"/>
          </w:tcPr>
          <w:p>
            <w:pPr>
              <w:pStyle w:val="null3"/>
            </w:pPr>
            <w:r>
              <w:rPr>
                <w:rFonts w:ascii="仿宋_GB2312" w:hAnsi="仿宋_GB2312" w:cs="仿宋_GB2312" w:eastAsia="仿宋_GB2312"/>
              </w:rPr>
              <w:t>针对本项目确保文明施工的技术措施及环境保护措施，内容包括但不限于①确保文明施 工的技术措施②环境保护措施③施工区域标准化封闭管理措施④精细化扬尘与噪音防控 技术方案⑤施工废弃物分类处理与资源化利用措施评审标准：方案内容详细完整、针对 性强、可行性高，符合项目实际要求。每项满分2分，缺项不得分，每项内容存在缺陷 扣1分。缺陷是指内容不合理、虽有内容但不完善、内容表述前后不一致、套用其他项 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 进度 计划 及确 保工 期的 技术 措施</w:t>
            </w:r>
          </w:p>
        </w:tc>
        <w:tc>
          <w:tcPr>
            <w:tcW w:type="dxa" w:w="2492"/>
          </w:tcPr>
          <w:p>
            <w:pPr>
              <w:pStyle w:val="null3"/>
            </w:pPr>
            <w:r>
              <w:rPr>
                <w:rFonts w:ascii="仿宋_GB2312" w:hAnsi="仿宋_GB2312" w:cs="仿宋_GB2312" w:eastAsia="仿宋_GB2312"/>
              </w:rPr>
              <w:t>针对本项目施工进度计划及确保工期的技术措施，内容包括但不限于①施工进度计划② 确保工期的技术措施③分阶段精细化施工进度计划编制评审标准：方案内容详细完整、 针对性强、可行性高，符合项目实际要求。每项满分2分，缺项不得分，每项内容存在 缺陷扣1分。缺陷是指内容不合理、虽有内容但不完善、内容表述前后不一致、套用其 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季节性施工管理防范措施</w:t>
            </w:r>
          </w:p>
        </w:tc>
        <w:tc>
          <w:tcPr>
            <w:tcW w:type="dxa" w:w="2492"/>
          </w:tcPr>
          <w:p>
            <w:pPr>
              <w:pStyle w:val="null3"/>
            </w:pPr>
            <w:r>
              <w:rPr>
                <w:rFonts w:ascii="仿宋_GB2312" w:hAnsi="仿宋_GB2312" w:cs="仿宋_GB2312" w:eastAsia="仿宋_GB2312"/>
              </w:rPr>
              <w:t>针对本项目季节性施工管理防范措施，内容包括但不限于①场地适配系统升级与动态监测措施②工序优化与季节适配作业保障机制③季节性施工管理防范综合措施评审标准：方案内容详 细完整、针对性强、可行性高，符合项目实际要求。每项满分2分，缺项不得分，每项 内容存在缺陷扣1分。缺陷是指内容不合理、虽有内容但不完善、内容表述前后不一致 、套用其他项目方案或与项目需求不匹配及其他不利于项目实施的任意一种情形。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 清运 方案</w:t>
            </w:r>
          </w:p>
        </w:tc>
        <w:tc>
          <w:tcPr>
            <w:tcW w:type="dxa" w:w="2492"/>
          </w:tcPr>
          <w:p>
            <w:pPr>
              <w:pStyle w:val="null3"/>
            </w:pPr>
            <w:r>
              <w:rPr>
                <w:rFonts w:ascii="仿宋_GB2312" w:hAnsi="仿宋_GB2312" w:cs="仿宋_GB2312" w:eastAsia="仿宋_GB2312"/>
              </w:rPr>
              <w:t>针对本项目垃圾清运方案，内容包括但不限于①清运管控与环境防护措施②垃圾清运方 案 评审标准：方案内容详细完整、针对性强、可行性高，符合项目实际要求。每项满 分2分，缺项不得分，每项内容存在缺陷扣1分。缺陷是指内容不合理、虽有内容但不 完善、内容表述前后不一致、套用其他项目方案或与项目需求不匹配及其他不利于项目 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针对本项目服务承诺，内容包括但不限于①服务过程中的相关承诺②投入材料质量承诺 ③质量保修期内的服务承诺④合理化建议评审标准：方案内容详细完整、针对性强、可 行性高，符合项目实际要求。每项满分2分，缺项不得分，每项内容存在缺陷扣1分。 缺陷是指内容不合理、虽有内容但不完善、内容表述前后不一致、套用其他项目方案或 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供应商2022年11月以来类似项目业绩；每提供1份计2分，最高得8分。业绩证明（以 合同或中标/成交通知书为准，须在磋商响应文件中附以上证明材料的扫描件加盖单位 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 他供应商的价格分统一按照下列公式计算： 磋商报价得分=（磋商基准价/最终磋商报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