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版本号：ZHCG-SYSZY-2025121220251214001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三原县2025年取水口在线监测项目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ZHCG-SYSZY-20251212</w:t>
      </w:r>
      <w:r>
        <w:br/>
      </w:r>
      <w:r>
        <w:br/>
      </w:r>
      <w:r>
        <w:br/>
      </w:r>
    </w:p>
    <w:p>
      <w:pPr>
        <w:pStyle w:val="null3"/>
        <w:jc w:val="center"/>
        <w:outlineLvl w:val="2"/>
      </w:pPr>
      <w:r>
        <w:rPr>
          <w:rFonts w:ascii="仿宋_GB2312" w:hAnsi="仿宋_GB2312" w:cs="仿宋_GB2312" w:eastAsia="仿宋_GB2312"/>
          <w:sz w:val="28"/>
          <w:b/>
        </w:rPr>
        <w:t>三原县水资源管理办公室</w:t>
      </w:r>
    </w:p>
    <w:p>
      <w:pPr>
        <w:pStyle w:val="null3"/>
        <w:jc w:val="center"/>
        <w:outlineLvl w:val="2"/>
      </w:pPr>
      <w:r>
        <w:rPr>
          <w:rFonts w:ascii="仿宋_GB2312" w:hAnsi="仿宋_GB2312" w:cs="仿宋_GB2312" w:eastAsia="仿宋_GB2312"/>
          <w:sz w:val="28"/>
          <w:b/>
        </w:rPr>
        <w:t>正和丽景项目管理有限公司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正和丽景项目管理有限公司</w:t>
      </w:r>
      <w:r>
        <w:rPr>
          <w:rFonts w:ascii="仿宋_GB2312" w:hAnsi="仿宋_GB2312" w:cs="仿宋_GB2312" w:eastAsia="仿宋_GB2312"/>
        </w:rPr>
        <w:t>（以下简称“代理机构”）受</w:t>
      </w:r>
      <w:r>
        <w:rPr>
          <w:rFonts w:ascii="仿宋_GB2312" w:hAnsi="仿宋_GB2312" w:cs="仿宋_GB2312" w:eastAsia="仿宋_GB2312"/>
        </w:rPr>
        <w:t>三原县水资源管理办公室</w:t>
      </w:r>
      <w:r>
        <w:rPr>
          <w:rFonts w:ascii="仿宋_GB2312" w:hAnsi="仿宋_GB2312" w:cs="仿宋_GB2312" w:eastAsia="仿宋_GB2312"/>
        </w:rPr>
        <w:t>委托，拟对</w:t>
      </w:r>
      <w:r>
        <w:rPr>
          <w:rFonts w:ascii="仿宋_GB2312" w:hAnsi="仿宋_GB2312" w:cs="仿宋_GB2312" w:eastAsia="仿宋_GB2312"/>
        </w:rPr>
        <w:t>三原县2025年取水口在线监测项目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ZHCG-SYSZY-20251212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三原县2025年取水口在线监测项目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三原县2025年取水口在线监测项目，完成安装30处“以电折水”样本井计量设施，并且农用灌溉取水井实时数据上传到省国控平台。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采购包1（三原县2025年取水口在线监测项目）：属于专门面向小微企业采购。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商业信誉和财会制度：提供2023或2024年度完整的经审计的财务报告（成立时间至投标文件提交截止时间不足一年的可提供成立后任意时段的资产负债表）及健全的财务会计制度相关证明材料，或提交自2025年1月1日以来银行（基本户开户行）出具的资信证明，或信用担保机构出具的投标担保函（以上三种形式的资料提供任何一种）；其他组织和自然人提供银行出具的资信证明或财务报表；</w:t>
      </w:r>
    </w:p>
    <w:p>
      <w:pPr>
        <w:pStyle w:val="null3"/>
      </w:pPr>
      <w:r>
        <w:rPr>
          <w:rFonts w:ascii="仿宋_GB2312" w:hAnsi="仿宋_GB2312" w:cs="仿宋_GB2312" w:eastAsia="仿宋_GB2312"/>
        </w:rPr>
        <w:t>3、税收缴纳证明：提供响应文件提交截止时间前近六个月内至少一个月的纳税证明或完税证明（增值税、企业所得税），依法免税的单位应提供相关证明材料；</w:t>
      </w:r>
    </w:p>
    <w:p>
      <w:pPr>
        <w:pStyle w:val="null3"/>
      </w:pPr>
      <w:r>
        <w:rPr>
          <w:rFonts w:ascii="仿宋_GB2312" w:hAnsi="仿宋_GB2312" w:cs="仿宋_GB2312" w:eastAsia="仿宋_GB2312"/>
        </w:rPr>
        <w:t>4、社会保障资金缴纳证明：提供响应文件提交截止时间前近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5、履行合同的能力：提供具有履行本合同所必需的设备和专业技术能力的声明；</w:t>
      </w:r>
    </w:p>
    <w:p>
      <w:pPr>
        <w:pStyle w:val="null3"/>
      </w:pPr>
      <w:r>
        <w:rPr>
          <w:rFonts w:ascii="仿宋_GB2312" w:hAnsi="仿宋_GB2312" w:cs="仿宋_GB2312" w:eastAsia="仿宋_GB2312"/>
        </w:rPr>
        <w:t>6、前三年内无重大违法记录的声明：出具参加政府采购活动前3年内在经营活动中没有重大违法记录的书面声明；</w:t>
      </w:r>
    </w:p>
    <w:p>
      <w:pPr>
        <w:pStyle w:val="null3"/>
      </w:pPr>
      <w:r>
        <w:rPr>
          <w:rFonts w:ascii="仿宋_GB2312" w:hAnsi="仿宋_GB2312" w:cs="仿宋_GB2312" w:eastAsia="仿宋_GB2312"/>
        </w:rPr>
        <w:t>7、法定代表人授权书：须提供法定代表人授权书（法定代表人或负责人直接参与磋商，须提交法定代表人证明书）；</w:t>
      </w:r>
    </w:p>
    <w:p>
      <w:pPr>
        <w:pStyle w:val="null3"/>
      </w:pPr>
      <w:r>
        <w:rPr>
          <w:rFonts w:ascii="仿宋_GB2312" w:hAnsi="仿宋_GB2312" w:cs="仿宋_GB2312" w:eastAsia="仿宋_GB2312"/>
        </w:rPr>
        <w:t>8、信用信息：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9、非联合体投标：本项目不接受联合体磋商。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三原县水资源管理办公室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陕西省咸阳市三原县政府街审计局四楼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三原县水资源管理工作站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18717298567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正和丽景项目管理有限公司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陕西省西安市雁塔区唐延路35号旺座现代城B座1104室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何智颖、李冲、高兴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029-88212028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号、发改办价格〔2003〕857号规定，依据发改价格〔2015〕299号文件按标准收取，代理费不足5000元按照5000元收取。经双方协商，由成交供应商支付招标代理服务费，发放成交通知书时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三原县水资源管理办公室</w:t>
      </w:r>
      <w:r>
        <w:rPr>
          <w:rFonts w:ascii="仿宋_GB2312" w:hAnsi="仿宋_GB2312" w:cs="仿宋_GB2312" w:eastAsia="仿宋_GB2312"/>
        </w:rPr>
        <w:t>和</w:t>
      </w:r>
      <w:r>
        <w:rPr>
          <w:rFonts w:ascii="仿宋_GB2312" w:hAnsi="仿宋_GB2312" w:cs="仿宋_GB2312" w:eastAsia="仿宋_GB2312"/>
        </w:rPr>
        <w:t>正和丽景项目管理有限公司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三原县水资源管理办公室</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正和丽景项目管理有限公司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三原县水资源管理办公室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正和丽景项目管理有限公司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水利行业信息化系统的特点，针对本项目制定质量检验评定标准，以便于对服务质量进行考核，提高系统运行的稳定、高效和安全。监测站设备质量合格；能够实时系统各单元运行状态；能够对前端设备进行基本功能的控制，如远程召测、工作模式控制、校准控制、数据存储、数据加报补报和通讯信道变更等；能够为水利系统及其他实现数据交换和共享预留相应接口；具有远程显示现场工作状态、安全和参数超限报警、可将警报和异常值发送至数据监控中心；能够记录有关现场异常事件的处理；留有扩展接口。数据通讯设备质量有合格证；当4G方式传输失败后能够自动切换到其他备用信道方式传输；具有校验功能的通信协议；数据采集与传输完整、准确、可靠，采集值与仪器测量值误差≤1%；数据控制中心具有遥测数据功能；数据传输成功率大于95%；留有扩展接口。</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联系人：何智颖、李冲、高兴</w:t>
      </w:r>
    </w:p>
    <w:p>
      <w:pPr>
        <w:pStyle w:val="null3"/>
      </w:pPr>
      <w:r>
        <w:rPr>
          <w:rFonts w:ascii="仿宋_GB2312" w:hAnsi="仿宋_GB2312" w:cs="仿宋_GB2312" w:eastAsia="仿宋_GB2312"/>
        </w:rPr>
        <w:t>联系电话：029-88212028</w:t>
      </w:r>
    </w:p>
    <w:p>
      <w:pPr>
        <w:pStyle w:val="null3"/>
      </w:pPr>
      <w:r>
        <w:rPr>
          <w:rFonts w:ascii="仿宋_GB2312" w:hAnsi="仿宋_GB2312" w:cs="仿宋_GB2312" w:eastAsia="仿宋_GB2312"/>
        </w:rPr>
        <w:t>地址：陕西省西安市雁塔区唐延路35号旺座现代城B座1104室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三原县2025年取水口在线监测项目，完成安装30处“以电折水”样本井计量设施，并且农用灌溉取水井实时数据上传到省国控平台。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576,000.00</w:t>
      </w:r>
    </w:p>
    <w:p>
      <w:pPr>
        <w:pStyle w:val="null3"/>
      </w:pPr>
      <w:r>
        <w:rPr>
          <w:rFonts w:ascii="仿宋_GB2312" w:hAnsi="仿宋_GB2312" w:cs="仿宋_GB2312" w:eastAsia="仿宋_GB2312"/>
        </w:rPr>
        <w:t>采购包最高限价（元）: 576,000.00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三原县2025年取水口在线监测项目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标的名称：三原县2025年取水口在线监测项目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一、采购项目概况：三原县2025年取水口在线监测项目，完成安装30处“以电折水”样本井计量设施，并且农用灌溉取水井实时数据上传到省国控平台。</w:t>
            </w:r>
          </w:p>
          <w:p>
            <w:pPr>
              <w:pStyle w:val="null3"/>
            </w:pPr>
            <w:r>
              <w:rPr>
                <w:rFonts w:ascii="仿宋_GB2312" w:hAnsi="仿宋_GB2312" w:cs="仿宋_GB2312" w:eastAsia="仿宋_GB2312"/>
              </w:rPr>
              <w:t>二、服务规范标准</w:t>
            </w:r>
          </w:p>
          <w:p>
            <w:pPr>
              <w:pStyle w:val="null3"/>
            </w:pPr>
            <w:r>
              <w:rPr>
                <w:rFonts w:ascii="仿宋_GB2312" w:hAnsi="仿宋_GB2312" w:cs="仿宋_GB2312" w:eastAsia="仿宋_GB2312"/>
              </w:rPr>
              <w:t>（1）《水资源监控管理数据库表结构及标识符标准》(SL380-2007)；</w:t>
            </w:r>
            <w:r>
              <w:br/>
            </w:r>
            <w:r>
              <w:rPr>
                <w:rFonts w:ascii="仿宋_GB2312" w:hAnsi="仿宋_GB2312" w:cs="仿宋_GB2312" w:eastAsia="仿宋_GB2312"/>
              </w:rPr>
              <w:t xml:space="preserve"> （2）《水资源实时**系统建设技术导则》(SL/Z349-2015)；</w:t>
            </w:r>
            <w:r>
              <w:br/>
            </w:r>
            <w:r>
              <w:rPr>
                <w:rFonts w:ascii="仿宋_GB2312" w:hAnsi="仿宋_GB2312" w:cs="仿宋_GB2312" w:eastAsia="仿宋_GB2312"/>
              </w:rPr>
              <w:t xml:space="preserve"> （3）《水资源监控设备基本技术条件》(SL426-2021)；</w:t>
            </w:r>
            <w:r>
              <w:br/>
            </w:r>
            <w:r>
              <w:rPr>
                <w:rFonts w:ascii="仿宋_GB2312" w:hAnsi="仿宋_GB2312" w:cs="仿宋_GB2312" w:eastAsia="仿宋_GB2312"/>
              </w:rPr>
              <w:t xml:space="preserve"> （4）《水资源监控管理系统数据传输规约》(SL427-2021)；</w:t>
            </w:r>
            <w:r>
              <w:br/>
            </w:r>
            <w:r>
              <w:rPr>
                <w:rFonts w:ascii="仿宋_GB2312" w:hAnsi="仿宋_GB2312" w:cs="仿宋_GB2312" w:eastAsia="仿宋_GB2312"/>
              </w:rPr>
              <w:t xml:space="preserve"> （5）《水资源水量监测技术导则》(SL365-2025)；</w:t>
            </w:r>
            <w:r>
              <w:br/>
            </w:r>
            <w:r>
              <w:rPr>
                <w:rFonts w:ascii="仿宋_GB2312" w:hAnsi="仿宋_GB2312" w:cs="仿宋_GB2312" w:eastAsia="仿宋_GB2312"/>
              </w:rPr>
              <w:t xml:space="preserve"> （6）《水资源管理信息对象代码编制规范》(GB/T33113-2016)；</w:t>
            </w:r>
            <w:r>
              <w:br/>
            </w:r>
            <w:r>
              <w:rPr>
                <w:rFonts w:ascii="仿宋_GB2312" w:hAnsi="仿宋_GB2312" w:cs="仿宋_GB2312" w:eastAsia="仿宋_GB2312"/>
              </w:rPr>
              <w:t xml:space="preserve"> （7）《水量计量设备基本技术条件》(SL/T426-2021)；</w:t>
            </w:r>
            <w:r>
              <w:br/>
            </w:r>
            <w:r>
              <w:rPr>
                <w:rFonts w:ascii="仿宋_GB2312" w:hAnsi="仿宋_GB2312" w:cs="仿宋_GB2312" w:eastAsia="仿宋_GB2312"/>
              </w:rPr>
              <w:t xml:space="preserve"> （8）《水资源监测设备现场安装调试》(SZY204-2016)；</w:t>
            </w:r>
            <w:r>
              <w:br/>
            </w:r>
            <w:r>
              <w:rPr>
                <w:rFonts w:ascii="仿宋_GB2312" w:hAnsi="仿宋_GB2312" w:cs="仿宋_GB2312" w:eastAsia="仿宋_GB2312"/>
              </w:rPr>
              <w:t xml:space="preserve"> （9）《水资源监测设备质量检验》(SZY205-2016)；</w:t>
            </w:r>
            <w:r>
              <w:br/>
            </w:r>
            <w:r>
              <w:rPr>
                <w:rFonts w:ascii="仿宋_GB2312" w:hAnsi="仿宋_GB2312" w:cs="仿宋_GB2312" w:eastAsia="仿宋_GB2312"/>
              </w:rPr>
              <w:t xml:space="preserve"> （10）《水资源监测数据传输规约》(SZY206-2016)；</w:t>
            </w:r>
            <w:r>
              <w:br/>
            </w:r>
            <w:r>
              <w:rPr>
                <w:rFonts w:ascii="仿宋_GB2312" w:hAnsi="仿宋_GB2312" w:cs="仿宋_GB2312" w:eastAsia="仿宋_GB2312"/>
              </w:rPr>
              <w:t xml:space="preserve"> （11）《地下水监测站建设技术规范》(SL360-2006)；</w:t>
            </w:r>
            <w:r>
              <w:br/>
            </w:r>
            <w:r>
              <w:rPr>
                <w:rFonts w:ascii="仿宋_GB2312" w:hAnsi="仿宋_GB2312" w:cs="仿宋_GB2312" w:eastAsia="仿宋_GB2312"/>
              </w:rPr>
              <w:t xml:space="preserve"> （12）《水文仪器基本参数及通用技术条件》（GB/T15966-2017）；</w:t>
            </w:r>
            <w:r>
              <w:br/>
            </w:r>
            <w:r>
              <w:rPr>
                <w:rFonts w:ascii="仿宋_GB2312" w:hAnsi="仿宋_GB2312" w:cs="仿宋_GB2312" w:eastAsia="仿宋_GB2312"/>
              </w:rPr>
              <w:t xml:space="preserve"> （13）《计算机软件测试规范》（GB/T15532-2008）；</w:t>
            </w:r>
          </w:p>
          <w:p>
            <w:pPr>
              <w:pStyle w:val="null3"/>
            </w:pPr>
            <w:r>
              <w:rPr>
                <w:rFonts w:ascii="仿宋_GB2312" w:hAnsi="仿宋_GB2312" w:cs="仿宋_GB2312" w:eastAsia="仿宋_GB2312"/>
              </w:rPr>
              <w:t>三、服务内容</w:t>
            </w:r>
          </w:p>
          <w:p>
            <w:pPr>
              <w:pStyle w:val="null3"/>
            </w:pPr>
            <w:r>
              <w:rPr>
                <w:rFonts w:ascii="仿宋_GB2312" w:hAnsi="仿宋_GB2312" w:cs="仿宋_GB2312" w:eastAsia="仿宋_GB2312"/>
              </w:rPr>
              <w:t>1.完成三原县抽水站取水计量监测设备安装及调试（包括但不限于管段式电磁流量计、投入式水位计、遥测终端机、SIM卡（含3年通信费）、太阳能电池板及支架、蓄电池、机箱等配套设施安装和调试），并且数据上传到省国控平台。</w:t>
            </w:r>
            <w:r>
              <w:br/>
            </w:r>
            <w:r>
              <w:rPr>
                <w:rFonts w:ascii="仿宋_GB2312" w:hAnsi="仿宋_GB2312" w:cs="仿宋_GB2312" w:eastAsia="仿宋_GB2312"/>
              </w:rPr>
              <w:t xml:space="preserve"> 2.监测点信息采集</w:t>
            </w:r>
            <w:r>
              <w:br/>
            </w:r>
            <w:r>
              <w:rPr>
                <w:rFonts w:ascii="仿宋_GB2312" w:hAnsi="仿宋_GB2312" w:cs="仿宋_GB2312" w:eastAsia="仿宋_GB2312"/>
              </w:rPr>
              <w:t xml:space="preserve"> 农用灌溉“以电折水”样本井也全部采用电磁流量计测量流量，采用智能电能表测量用电量，信息采集频次为每小时1次。</w:t>
            </w:r>
            <w:r>
              <w:br/>
            </w:r>
            <w:r>
              <w:rPr>
                <w:rFonts w:ascii="仿宋_GB2312" w:hAnsi="仿宋_GB2312" w:cs="仿宋_GB2312" w:eastAsia="仿宋_GB2312"/>
              </w:rPr>
              <w:t xml:space="preserve"> 3.监测点信息传输</w:t>
            </w:r>
            <w:r>
              <w:br/>
            </w:r>
            <w:r>
              <w:rPr>
                <w:rFonts w:ascii="仿宋_GB2312" w:hAnsi="仿宋_GB2312" w:cs="仿宋_GB2312" w:eastAsia="仿宋_GB2312"/>
              </w:rPr>
              <w:t xml:space="preserve"> 农用灌溉取水井实时数据上传到省国控平台。</w:t>
            </w:r>
            <w:r>
              <w:br/>
            </w:r>
            <w:r>
              <w:rPr>
                <w:rFonts w:ascii="仿宋_GB2312" w:hAnsi="仿宋_GB2312" w:cs="仿宋_GB2312" w:eastAsia="仿宋_GB2312"/>
              </w:rPr>
              <w:t xml:space="preserve"> 4.供电方式</w:t>
            </w:r>
            <w:r>
              <w:br/>
            </w:r>
            <w:r>
              <w:rPr>
                <w:rFonts w:ascii="仿宋_GB2312" w:hAnsi="仿宋_GB2312" w:cs="仿宋_GB2312" w:eastAsia="仿宋_GB2312"/>
              </w:rPr>
              <w:t xml:space="preserve"> 取用水在线监测站采用太阳能供电方式进行供电，有条件的地方采用太阳能和交流电互补供电。</w:t>
            </w:r>
            <w:r>
              <w:br/>
            </w:r>
            <w:r>
              <w:rPr>
                <w:rFonts w:ascii="仿宋_GB2312" w:hAnsi="仿宋_GB2312" w:cs="仿宋_GB2312" w:eastAsia="仿宋_GB2312"/>
              </w:rPr>
              <w:t xml:space="preserve"> 5.系统功能</w:t>
            </w:r>
            <w:r>
              <w:br/>
            </w:r>
            <w:r>
              <w:rPr>
                <w:rFonts w:ascii="仿宋_GB2312" w:hAnsi="仿宋_GB2312" w:cs="仿宋_GB2312" w:eastAsia="仿宋_GB2312"/>
              </w:rPr>
              <w:t xml:space="preserve"> （1）监测站能进行24小时连续在线监测，按照规定段次，自动完成定时自报和在开关机、设备异常时加报功能；</w:t>
            </w:r>
            <w:r>
              <w:br/>
            </w:r>
            <w:r>
              <w:rPr>
                <w:rFonts w:ascii="仿宋_GB2312" w:hAnsi="仿宋_GB2312" w:cs="仿宋_GB2312" w:eastAsia="仿宋_GB2312"/>
              </w:rPr>
              <w:t xml:space="preserve"> （2）监测终端具有存储临时数据和定时报文的功能；</w:t>
            </w:r>
            <w:r>
              <w:br/>
            </w:r>
            <w:r>
              <w:rPr>
                <w:rFonts w:ascii="仿宋_GB2312" w:hAnsi="仿宋_GB2312" w:cs="仿宋_GB2312" w:eastAsia="仿宋_GB2312"/>
              </w:rPr>
              <w:t xml:space="preserve"> （3）监测终端具有现地、远程下载存储报文数据的功能；</w:t>
            </w:r>
            <w:r>
              <w:br/>
            </w:r>
            <w:r>
              <w:rPr>
                <w:rFonts w:ascii="仿宋_GB2312" w:hAnsi="仿宋_GB2312" w:cs="仿宋_GB2312" w:eastAsia="仿宋_GB2312"/>
              </w:rPr>
              <w:t xml:space="preserve"> （4）监测终端具有现地、远程设定其工作方式和工作参数功能以及时钟校准功能；</w:t>
            </w:r>
            <w:r>
              <w:br/>
            </w:r>
            <w:r>
              <w:rPr>
                <w:rFonts w:ascii="仿宋_GB2312" w:hAnsi="仿宋_GB2312" w:cs="仿宋_GB2312" w:eastAsia="仿宋_GB2312"/>
              </w:rPr>
              <w:t xml:space="preserve"> （5）具有现场显示测量参数和设备运行状态和人工录入及发报功能；</w:t>
            </w:r>
            <w:r>
              <w:br/>
            </w:r>
            <w:r>
              <w:rPr>
                <w:rFonts w:ascii="仿宋_GB2312" w:hAnsi="仿宋_GB2312" w:cs="仿宋_GB2312" w:eastAsia="仿宋_GB2312"/>
              </w:rPr>
              <w:t xml:space="preserve"> （6）具有良好的电源管理和通信管理功能，包括向监测中心报告电源状态信息等；</w:t>
            </w:r>
            <w:r>
              <w:br/>
            </w:r>
            <w:r>
              <w:rPr>
                <w:rFonts w:ascii="仿宋_GB2312" w:hAnsi="仿宋_GB2312" w:cs="仿宋_GB2312" w:eastAsia="仿宋_GB2312"/>
              </w:rPr>
              <w:t xml:space="preserve"> （7）具有停电保护及来电自动恢复功能。</w:t>
            </w:r>
            <w:r>
              <w:br/>
            </w:r>
            <w:r>
              <w:rPr>
                <w:rFonts w:ascii="仿宋_GB2312" w:hAnsi="仿宋_GB2312" w:cs="仿宋_GB2312" w:eastAsia="仿宋_GB2312"/>
              </w:rPr>
              <w:t xml:space="preserve"> 6.系统性能</w:t>
            </w:r>
            <w:r>
              <w:br/>
            </w:r>
            <w:r>
              <w:rPr>
                <w:rFonts w:ascii="仿宋_GB2312" w:hAnsi="仿宋_GB2312" w:cs="仿宋_GB2312" w:eastAsia="仿宋_GB2312"/>
              </w:rPr>
              <w:t xml:space="preserve"> （1）所采用的设备结构简单、性能可靠、维护方便、具有很好的防误操作、防潮、防腐、防雷击等能力，系统可在无人值守的条件下长期工作。</w:t>
            </w:r>
            <w:r>
              <w:br/>
            </w:r>
            <w:r>
              <w:rPr>
                <w:rFonts w:ascii="仿宋_GB2312" w:hAnsi="仿宋_GB2312" w:cs="仿宋_GB2312" w:eastAsia="仿宋_GB2312"/>
              </w:rPr>
              <w:t xml:space="preserve"> （2）系统具有良好的兼容性和可扩展性，充分考虑将来仪表的扩充要求，相关设备保留相应的余量和接口。</w:t>
            </w:r>
            <w:r>
              <w:br/>
            </w:r>
            <w:r>
              <w:rPr>
                <w:rFonts w:ascii="仿宋_GB2312" w:hAnsi="仿宋_GB2312" w:cs="仿宋_GB2312" w:eastAsia="仿宋_GB2312"/>
              </w:rPr>
              <w:t xml:space="preserve"> （3）采集数据准确度和精密度须满足规范要求，水量测量误差应不大于5%。</w:t>
            </w:r>
            <w:r>
              <w:br/>
            </w:r>
            <w:r>
              <w:rPr>
                <w:rFonts w:ascii="仿宋_GB2312" w:hAnsi="仿宋_GB2312" w:cs="仿宋_GB2312" w:eastAsia="仿宋_GB2312"/>
              </w:rPr>
              <w:t xml:space="preserve"> （4）现场显示界面设计应该简洁、美观、实用，操作方便。</w:t>
            </w:r>
            <w:r>
              <w:br/>
            </w:r>
            <w:r>
              <w:rPr>
                <w:rFonts w:ascii="仿宋_GB2312" w:hAnsi="仿宋_GB2312" w:cs="仿宋_GB2312" w:eastAsia="仿宋_GB2312"/>
              </w:rPr>
              <w:t xml:space="preserve"> （5）系统工作稳定，确保自动监测站在有人看管无人值守时正常工作，单台设备MTBF≥30000小时。</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供应商须根据本次服务要求，配备有足够的相关专业技术人员。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供应商须根据本次服务要求，配备有足够的相关专业设备。</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由采购人组织验收；交付标准：达到设计要求并符合国家节水项目建设相关规范验收标准，实现正常取水口在线监测计量功能。</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项目完工，初验合格后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项目终验完成，验收通过后一次性支付剩余款项</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一方不履行合同义务或者履行合同义务不符合约定的，应当承担继续履行、采取补救措施或者赔偿损失等违约责任。</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1、报价含完成任务所需的税费、设备费、人工费、交通费、专家费、租车费、资料费等所有费用。 2、合同其他条款：因资金拨款审批程序等原因，具体支付进度需结合采购人资金到账情况而定，供应商需预见且接受该情况。合同其他条款根据采购文件、响应文件及合同约定执行。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谈判响应函.pdf 谈判响应函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谈判响应函.pdf 谈判响应函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商业信誉和财会制度</w:t>
            </w:r>
          </w:p>
        </w:tc>
        <w:tc>
          <w:tcPr>
            <w:tcW w:type="dxa" w:w="3322"/>
          </w:tcPr>
          <w:p>
            <w:pPr>
              <w:pStyle w:val="null3"/>
            </w:pPr>
            <w:r>
              <w:rPr>
                <w:rFonts w:ascii="仿宋_GB2312" w:hAnsi="仿宋_GB2312" w:cs="仿宋_GB2312" w:eastAsia="仿宋_GB2312"/>
              </w:rPr>
              <w:t>提供2023或2024年度完整的经审计的财务报告（成立时间至投标文件提交截止时间不足一年的可提供成立后任意时段的资产负债表）及健全的财务会计制度相关证明材料，或提交自2025年1月1日以来银行（基本户开户行）出具的资信证明，或信用担保机构出具的投标担保函（以上三种形式的资料提供任何一种）；其他组织和自然人提供银行出具的资信证明或财务报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提供响应文件提交截止时间前近六个月内至少一个月的纳税证明或完税证明（增值税、企业所得税），依法免税的单位应提供相关证明材料；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提供响应文件提交截止时间前近六个月内至少一个月的社会保障资金缴存单据或社保机构开具的社会保险参保缴费情况证明，依法不需要缴纳社会保障资金的单位应提供相关证明材料；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前三年内无重大违法记录的声明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须提供法定代表人授权书（法定代表人或负责人直接参与磋商，须提交法定代表人证明书）；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资格证明文件.pdf</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评审专家是采取随机方式在采购一体化平台的专家库系统（以下简称专家库系统）抽取。技术复杂、专业性较强的采购项目，评审专家中应当包含1名法律专家。</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谈判分项报价表.pdf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 签字齐全并加盖公章</w:t>
            </w:r>
          </w:p>
        </w:tc>
        <w:tc>
          <w:tcPr>
            <w:tcW w:type="dxa" w:w="1661"/>
          </w:tcPr>
          <w:p>
            <w:pPr>
              <w:pStyle w:val="null3"/>
            </w:pPr>
            <w:r>
              <w:rPr>
                <w:rFonts w:ascii="仿宋_GB2312" w:hAnsi="仿宋_GB2312" w:cs="仿宋_GB2312" w:eastAsia="仿宋_GB2312"/>
              </w:rPr>
              <w:t>响应文件封面 承诺书.pdf 服务内容及服务邀请应答表 服务方案.pdf 谈判分项报价表.pdf 谈判响应函.pdf 中小企业声明函 商务应答表 报价表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谈判分项报价表.pdf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响应文件封面 承诺书.pdf 服务内容及服务邀请应答表 谈判分项报价表.pdf 服务方案.pdf 谈判响应函.pdf 中小企业声明函 商务应答表 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谈判响应函.pdf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详见附件：谈判响应函</w:t>
      </w:r>
    </w:p>
    <w:p>
      <w:pPr>
        <w:pStyle w:val="null3"/>
        <w:ind w:firstLine="960"/>
      </w:pPr>
      <w:r>
        <w:rPr>
          <w:rFonts w:ascii="仿宋_GB2312" w:hAnsi="仿宋_GB2312" w:cs="仿宋_GB2312" w:eastAsia="仿宋_GB2312"/>
        </w:rPr>
        <w:t>详见附件：谈判响应函.pdf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详见附件：承诺书.pdf</w:t>
      </w:r>
    </w:p>
    <w:p>
      <w:pPr>
        <w:pStyle w:val="null3"/>
        <w:ind w:firstLine="960"/>
      </w:pPr>
      <w:r>
        <w:rPr>
          <w:rFonts w:ascii="仿宋_GB2312" w:hAnsi="仿宋_GB2312" w:cs="仿宋_GB2312" w:eastAsia="仿宋_GB2312"/>
        </w:rPr>
        <w:t>详见附件：谈判分项报价表.pdf</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