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版本号：HYGJ-XF-56820251214001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三原县2025年省级黄河流域生态保护和高质量发展专项资金清峪河国家湿地公园保护治理项目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HYGJ-XF-568</w:t>
      </w:r>
      <w:r>
        <w:br/>
      </w:r>
      <w:r>
        <w:br/>
      </w:r>
      <w:r>
        <w:br/>
      </w:r>
    </w:p>
    <w:p>
      <w:pPr>
        <w:pStyle w:val="null3"/>
        <w:jc w:val="center"/>
        <w:outlineLvl w:val="2"/>
      </w:pPr>
      <w:r>
        <w:rPr>
          <w:rFonts w:ascii="仿宋_GB2312" w:hAnsi="仿宋_GB2312" w:cs="仿宋_GB2312" w:eastAsia="仿宋_GB2312"/>
          <w:sz w:val="28"/>
          <w:b/>
        </w:rPr>
        <w:t>三原县林业工作站</w:t>
      </w:r>
    </w:p>
    <w:p>
      <w:pPr>
        <w:pStyle w:val="null3"/>
        <w:jc w:val="center"/>
        <w:outlineLvl w:val="2"/>
      </w:pPr>
      <w:r>
        <w:rPr>
          <w:rFonts w:ascii="仿宋_GB2312" w:hAnsi="仿宋_GB2312" w:cs="仿宋_GB2312" w:eastAsia="仿宋_GB2312"/>
          <w:sz w:val="28"/>
          <w:b/>
        </w:rPr>
        <w:t>宏业国际项目管理有限公司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宏业国际项目管理有限公司</w:t>
      </w:r>
      <w:r>
        <w:rPr>
          <w:rFonts w:ascii="仿宋_GB2312" w:hAnsi="仿宋_GB2312" w:cs="仿宋_GB2312" w:eastAsia="仿宋_GB2312"/>
        </w:rPr>
        <w:t>（以下简称“代理机构”）受</w:t>
      </w:r>
      <w:r>
        <w:rPr>
          <w:rFonts w:ascii="仿宋_GB2312" w:hAnsi="仿宋_GB2312" w:cs="仿宋_GB2312" w:eastAsia="仿宋_GB2312"/>
        </w:rPr>
        <w:t>三原县林业工作站</w:t>
      </w:r>
      <w:r>
        <w:rPr>
          <w:rFonts w:ascii="仿宋_GB2312" w:hAnsi="仿宋_GB2312" w:cs="仿宋_GB2312" w:eastAsia="仿宋_GB2312"/>
        </w:rPr>
        <w:t>委托，拟对</w:t>
      </w:r>
      <w:r>
        <w:rPr>
          <w:rFonts w:ascii="仿宋_GB2312" w:hAnsi="仿宋_GB2312" w:cs="仿宋_GB2312" w:eastAsia="仿宋_GB2312"/>
        </w:rPr>
        <w:t>三原县2025年省级黄河流域生态保护和高质量发展专项资金清峪河国家湿地公园保护治理项目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HYGJ-XF-568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三原县2025年省级黄河流域生态保护和高质量发展专项资金清峪河国家湿地公园保护治理项目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三原县2025年省级黄河流域生态保护和高质量发展专项资金清峪河国家湿地公园保护治理项目包1：恢复湿地植被面积为244亩，其中撒播芦苇226亩，共撒播草籽1356公斤，护岸林种植国槐、樱花两种乔木共18亩，种植1500株乔木，其中国槐750株、樱花750株；处理项目区域内垃圾场及水体污染区43亩，其中水体污染处理18亩，建筑和居民垃圾治 理25亩；维护岸线长度为520米，加固护岸林，并在其范围内种植油松、白皮松等，种植面积27亩，种植数量油松1000株，白皮松1000株，采用物理措施对清峪河区域内的有害生物进行防治；三原县2025年省级黄河流域生态保护和高质量发展专项资金清峪河国家湿地公园保护治理项目包2：完善宣传教育体系，在其范围内设立8个电子宣传牌及20个警示牌；提升改造公园内部的监测体系，新增监测点14处，改造原有监测点15处。</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1、营业执照等主体资格证明文件：供应商须具有独立承担民事责任能力的法人、其他组织或自然人，并出具合法有效的营业执照或事业单位法人证书等国家规定的相关证明，自然人参与的提供其身份证明。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证明书或法定代表人授权书：供应商应授权合法的人员参加全过程，其中法定代表人直接参加的，须出具法人身份证，并与营业执照上信息一致；法定代表人授权代表参加的，须出具法定代表人授权书及授权代表身份证。</w:t>
      </w:r>
    </w:p>
    <w:p>
      <w:pPr>
        <w:pStyle w:val="null3"/>
      </w:pPr>
      <w:r>
        <w:rPr>
          <w:rFonts w:ascii="仿宋_GB2312" w:hAnsi="仿宋_GB2312" w:cs="仿宋_GB2312" w:eastAsia="仿宋_GB2312"/>
        </w:rPr>
        <w:t>3、财务要求：提供2024年度经审计的财务报告（成立时间至提交响应文件截止时间不足一年的可提供成立后任意时段的资产负债表），或开标前三个月内基本存款账户开户银行出具的资信证明及基本存款账户开户许可证（或基本账户信息表）。</w:t>
      </w:r>
    </w:p>
    <w:p>
      <w:pPr>
        <w:pStyle w:val="null3"/>
      </w:pPr>
      <w:r>
        <w:rPr>
          <w:rFonts w:ascii="仿宋_GB2312" w:hAnsi="仿宋_GB2312" w:cs="仿宋_GB2312" w:eastAsia="仿宋_GB2312"/>
        </w:rPr>
        <w:t>4、税收缴纳证明：提供响应文件递交截止日前一年内已缴纳的至少一个月的纳税证明或完税证明，依法免税的单位应提供相关证明材料。</w:t>
      </w:r>
    </w:p>
    <w:p>
      <w:pPr>
        <w:pStyle w:val="null3"/>
      </w:pPr>
      <w:r>
        <w:rPr>
          <w:rFonts w:ascii="仿宋_GB2312" w:hAnsi="仿宋_GB2312" w:cs="仿宋_GB2312" w:eastAsia="仿宋_GB2312"/>
        </w:rPr>
        <w:t>5、社会保障资金缴纳证明：提供响应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6、无违法记录书面声明：提供参加政府采购活动前3年内，在经营活动中没有重大违法记录的书面声明。</w:t>
      </w:r>
    </w:p>
    <w:p>
      <w:pPr>
        <w:pStyle w:val="null3"/>
      </w:pPr>
      <w:r>
        <w:rPr>
          <w:rFonts w:ascii="仿宋_GB2312" w:hAnsi="仿宋_GB2312" w:cs="仿宋_GB2312" w:eastAsia="仿宋_GB2312"/>
        </w:rPr>
        <w:t>7、书面声明：提供具有履行本合同所必需的设备和专业技术能力的声明。</w:t>
      </w:r>
    </w:p>
    <w:p>
      <w:pPr>
        <w:pStyle w:val="null3"/>
      </w:pPr>
      <w:r>
        <w:rPr>
          <w:rFonts w:ascii="仿宋_GB2312" w:hAnsi="仿宋_GB2312" w:cs="仿宋_GB2312" w:eastAsia="仿宋_GB2312"/>
        </w:rPr>
        <w:t>8、信誉记录：供应商未被列入《信用中国》（https：//www.creditchina.gov.cn）“重大税收违法失信主体”名单和“失信被执行人”查询（页面跳转至《中国执行信息公开网》http：//zxgk.court.gov.cn/shixin）及不处于《中国政府采购网》（http：//www.ccgp.gov.cn）记录的“政府采购严重违法失信行为记录名单”中的禁止参加政府采购活动期间，提供书面信用承诺函</w:t>
      </w:r>
    </w:p>
    <w:p>
      <w:pPr>
        <w:pStyle w:val="null3"/>
      </w:pPr>
      <w:r>
        <w:rPr>
          <w:rFonts w:ascii="仿宋_GB2312" w:hAnsi="仿宋_GB2312" w:cs="仿宋_GB2312" w:eastAsia="仿宋_GB2312"/>
        </w:rPr>
        <w:t>9、控股、管理关系声明：单位负责人为同一人或者存在直接控股、管理关系的不同供应商，不得参加同一合同项下的政府采购活动。</w:t>
      </w:r>
    </w:p>
    <w:p>
      <w:pPr>
        <w:pStyle w:val="null3"/>
      </w:pPr>
      <w:r>
        <w:rPr>
          <w:rFonts w:ascii="仿宋_GB2312" w:hAnsi="仿宋_GB2312" w:cs="仿宋_GB2312" w:eastAsia="仿宋_GB2312"/>
        </w:rPr>
        <w:t>10、联合体要求：本项目不接受联合体磋商。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1、营业执照等主体资格证明文件：供应商须具有独立承担民事责任能力的法人、其他组织或自然人，并出具合法有效的营业执照或事业单位法人证书等国家规定的相关证明，自然人参与的提供其身份证明。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证明书或法定代表人授权书：供应商应授权合法的人员参加全过程，其中法定代表人直接参加的，须出具法人身份证，并与营业执照上信息一致；法定代表人授权代表参加的，须出具法定代表人授权书及授权代表身份证。</w:t>
      </w:r>
    </w:p>
    <w:p>
      <w:pPr>
        <w:pStyle w:val="null3"/>
      </w:pPr>
      <w:r>
        <w:rPr>
          <w:rFonts w:ascii="仿宋_GB2312" w:hAnsi="仿宋_GB2312" w:cs="仿宋_GB2312" w:eastAsia="仿宋_GB2312"/>
        </w:rPr>
        <w:t>3、财务要求：提供2024年度经审计的财务报告（成立时间至提交响应文件截止时间不足一年的可提供成立后任意时段的资产负债表），或开标前三个月内基本存款账户开户银行出具的资信证明及基本存款账户开户许可证（或基本账户信息表）。</w:t>
      </w:r>
    </w:p>
    <w:p>
      <w:pPr>
        <w:pStyle w:val="null3"/>
      </w:pPr>
      <w:r>
        <w:rPr>
          <w:rFonts w:ascii="仿宋_GB2312" w:hAnsi="仿宋_GB2312" w:cs="仿宋_GB2312" w:eastAsia="仿宋_GB2312"/>
        </w:rPr>
        <w:t>4、税收缴纳证明：提供响应文件递交截止日前一年内已缴纳的至少一个月的纳税证明或完税证明，依法免税的单位应提供相关证明材料。</w:t>
      </w:r>
    </w:p>
    <w:p>
      <w:pPr>
        <w:pStyle w:val="null3"/>
      </w:pPr>
      <w:r>
        <w:rPr>
          <w:rFonts w:ascii="仿宋_GB2312" w:hAnsi="仿宋_GB2312" w:cs="仿宋_GB2312" w:eastAsia="仿宋_GB2312"/>
        </w:rPr>
        <w:t>5、社会保障资金缴纳证明：提供响应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6、无违法记录书面声明：提供参加政府采购活动前3年内，在经营活动中没有重大违法记录的书面声明。</w:t>
      </w:r>
    </w:p>
    <w:p>
      <w:pPr>
        <w:pStyle w:val="null3"/>
      </w:pPr>
      <w:r>
        <w:rPr>
          <w:rFonts w:ascii="仿宋_GB2312" w:hAnsi="仿宋_GB2312" w:cs="仿宋_GB2312" w:eastAsia="仿宋_GB2312"/>
        </w:rPr>
        <w:t>7、书面声明：提供具有履行本合同所必需的设备和专业技术能力的声明。</w:t>
      </w:r>
    </w:p>
    <w:p>
      <w:pPr>
        <w:pStyle w:val="null3"/>
      </w:pPr>
      <w:r>
        <w:rPr>
          <w:rFonts w:ascii="仿宋_GB2312" w:hAnsi="仿宋_GB2312" w:cs="仿宋_GB2312" w:eastAsia="仿宋_GB2312"/>
        </w:rPr>
        <w:t>8、信誉记录：供应商未被列入《信用中国》（https：//www.creditchina.gov.cn）“重大税收违法失信主体”名单和“失信被执行人”查询（页面跳转至《中国执行信息公开网》http：//zxgk.court.gov.cn/shixin）及不处于《中国政府采购网》（http：//www.ccgp.gov.cn）记录的“政府采购严重违法失信行为记录名单”中的禁止参加政府采购活动期间，提供书面信用承诺函</w:t>
      </w:r>
    </w:p>
    <w:p>
      <w:pPr>
        <w:pStyle w:val="null3"/>
      </w:pPr>
      <w:r>
        <w:rPr>
          <w:rFonts w:ascii="仿宋_GB2312" w:hAnsi="仿宋_GB2312" w:cs="仿宋_GB2312" w:eastAsia="仿宋_GB2312"/>
        </w:rPr>
        <w:t>9、控股、管理关系声明：单位负责人为同一人或者存在直接控股、管理关系的不同供应商，不得参加同一合同项下的政府采购活动。</w:t>
      </w:r>
    </w:p>
    <w:p>
      <w:pPr>
        <w:pStyle w:val="null3"/>
      </w:pPr>
      <w:r>
        <w:rPr>
          <w:rFonts w:ascii="仿宋_GB2312" w:hAnsi="仿宋_GB2312" w:cs="仿宋_GB2312" w:eastAsia="仿宋_GB2312"/>
        </w:rPr>
        <w:t>10、联合体要求：本项目不接受联合体磋商。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三原县林业工作站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三原县宴友思大街中段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18064386980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宏业国际项目管理有限公司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陕西省西咸新区沣西新城中铁港沣国际十三层 1309室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029-88680610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采购包1：1,961,900.00元</w:t>
            </w:r>
          </w:p>
          <w:p>
            <w:pPr>
              <w:pStyle w:val="null3"/>
            </w:pPr>
            <w:r>
              <w:rPr>
                <w:rFonts w:ascii="仿宋_GB2312" w:hAnsi="仿宋_GB2312" w:cs="仿宋_GB2312" w:eastAsia="仿宋_GB2312"/>
              </w:rPr>
              <w:t>采购包2：900,000.00元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领取成交通知书前，须向采购代理机构一次性支付采购代理服务费，采购代理服务费参照《国家计委关于印发&lt;招标代理服务收费管理暂行办法&gt;的通知》（计价格[2002]1980号文件）、《国家发展改革委关于降低部分建设项目收费标准规范收费行为等有关问题的通知》（发改价格[2011]534号）和采购代理合同约定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三原县林业工作站</w:t>
      </w:r>
      <w:r>
        <w:rPr>
          <w:rFonts w:ascii="仿宋_GB2312" w:hAnsi="仿宋_GB2312" w:cs="仿宋_GB2312" w:eastAsia="仿宋_GB2312"/>
        </w:rPr>
        <w:t>和</w:t>
      </w:r>
      <w:r>
        <w:rPr>
          <w:rFonts w:ascii="仿宋_GB2312" w:hAnsi="仿宋_GB2312" w:cs="仿宋_GB2312" w:eastAsia="仿宋_GB2312"/>
        </w:rPr>
        <w:t>宏业国际项目管理有限公司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三原县林业工作站</w:t>
      </w:r>
      <w:r>
        <w:rPr>
          <w:rFonts w:ascii="仿宋_GB2312" w:hAnsi="仿宋_GB2312" w:cs="仿宋_GB2312" w:eastAsia="仿宋_GB2312"/>
        </w:rPr>
        <w:t>负责解释。除上述磋商文件内容，其他内容由</w:t>
      </w:r>
      <w:r>
        <w:rPr>
          <w:rFonts w:ascii="仿宋_GB2312" w:hAnsi="仿宋_GB2312" w:cs="仿宋_GB2312" w:eastAsia="仿宋_GB2312"/>
        </w:rPr>
        <w:t>宏业国际项目管理有限公司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三原县林业工作站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宏业国际项目管理有限公司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完成三原县2025年省级黄河流域生态保护和高质量发展专项资金清峪河国家湿地公园保护治理项目。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完成三原县2025年省级黄河流域生态保护和高质量发展专项资金清峪河国家湿地公园保护治理项目。</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宏业国际项目管理有限公司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宏业国际项目管理有限公司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宏业国际项目管理有限公司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联系人：王静</w:t>
      </w:r>
    </w:p>
    <w:p>
      <w:pPr>
        <w:pStyle w:val="null3"/>
      </w:pPr>
      <w:r>
        <w:rPr>
          <w:rFonts w:ascii="仿宋_GB2312" w:hAnsi="仿宋_GB2312" w:cs="仿宋_GB2312" w:eastAsia="仿宋_GB2312"/>
        </w:rPr>
        <w:t>联系电话：029-88680610</w:t>
      </w:r>
    </w:p>
    <w:p>
      <w:pPr>
        <w:pStyle w:val="null3"/>
      </w:pPr>
      <w:r>
        <w:rPr>
          <w:rFonts w:ascii="仿宋_GB2312" w:hAnsi="仿宋_GB2312" w:cs="仿宋_GB2312" w:eastAsia="仿宋_GB2312"/>
        </w:rPr>
        <w:t>地址：陕西省西咸新区沣西新城中铁港沣国际十三层 1309室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1,961,900.00</w:t>
      </w:r>
    </w:p>
    <w:p>
      <w:pPr>
        <w:pStyle w:val="null3"/>
      </w:pPr>
      <w:r>
        <w:rPr>
          <w:rFonts w:ascii="仿宋_GB2312" w:hAnsi="仿宋_GB2312" w:cs="仿宋_GB2312" w:eastAsia="仿宋_GB2312"/>
        </w:rPr>
        <w:t>采购包最高限价（元）: 1,961,900.00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湿地保护</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1,961,900.00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监测体系提升改造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标的名称：湿地保护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w:t>
            </w:r>
            <w:r>
              <w:rPr>
                <w:rFonts w:ascii="仿宋_GB2312" w:hAnsi="仿宋_GB2312" w:cs="仿宋_GB2312" w:eastAsia="仿宋_GB2312"/>
                <w:sz w:val="13"/>
                <w:color w:val="000000"/>
              </w:rPr>
              <w:t>工期：自合同签订之日起</w:t>
            </w:r>
            <w:r>
              <w:rPr>
                <w:rFonts w:ascii="仿宋_GB2312" w:hAnsi="仿宋_GB2312" w:cs="仿宋_GB2312" w:eastAsia="仿宋_GB2312"/>
                <w:sz w:val="13"/>
                <w:color w:val="000000"/>
              </w:rPr>
              <w:t>180</w:t>
            </w:r>
            <w:r>
              <w:rPr>
                <w:rFonts w:ascii="仿宋_GB2312" w:hAnsi="仿宋_GB2312" w:cs="仿宋_GB2312" w:eastAsia="仿宋_GB2312"/>
                <w:sz w:val="13"/>
                <w:color w:val="000000"/>
              </w:rPr>
              <w:t>个日历天；</w:t>
            </w:r>
          </w:p>
          <w:p>
            <w:pPr>
              <w:pStyle w:val="null3"/>
            </w:pPr>
            <w:r>
              <w:rPr>
                <w:rFonts w:ascii="仿宋_GB2312" w:hAnsi="仿宋_GB2312" w:cs="仿宋_GB2312" w:eastAsia="仿宋_GB2312"/>
              </w:rPr>
              <w:t>2、</w:t>
            </w:r>
            <w:r>
              <w:rPr>
                <w:rFonts w:ascii="仿宋_GB2312" w:hAnsi="仿宋_GB2312" w:cs="仿宋_GB2312" w:eastAsia="仿宋_GB2312"/>
                <w:sz w:val="13"/>
                <w:color w:val="000000"/>
              </w:rPr>
              <w:t>质量保修期：</w:t>
            </w:r>
            <w:r>
              <w:rPr>
                <w:rFonts w:ascii="仿宋_GB2312" w:hAnsi="仿宋_GB2312" w:cs="仿宋_GB2312" w:eastAsia="仿宋_GB2312"/>
                <w:sz w:val="13"/>
                <w:color w:val="000000"/>
              </w:rPr>
              <w:t>项目实施结束后，一年内（12个月）定期对湿地植被恢复栽植的苗木加强苗木养护，确保苗木成活率达到85%以上；</w:t>
            </w:r>
          </w:p>
          <w:p>
            <w:pPr>
              <w:pStyle w:val="null3"/>
            </w:pPr>
            <w:r>
              <w:rPr>
                <w:rFonts w:ascii="仿宋_GB2312" w:hAnsi="仿宋_GB2312" w:cs="仿宋_GB2312" w:eastAsia="仿宋_GB2312"/>
              </w:rPr>
              <w:t>3、</w:t>
            </w:r>
            <w:r>
              <w:rPr>
                <w:rFonts w:ascii="仿宋_GB2312" w:hAnsi="仿宋_GB2312" w:cs="仿宋_GB2312" w:eastAsia="仿宋_GB2312"/>
                <w:sz w:val="13"/>
                <w:color w:val="000000"/>
              </w:rPr>
              <w:t>施工要求：在施工期间，成交供应商必须加强安全措施，并对施工人员进行安全教育，施工人员必须持证上岗。</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标的名称：监测体系提升改造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outlineLvl w:val="0"/>
            </w:pPr>
            <w:r>
              <w:rPr>
                <w:rFonts w:ascii="仿宋_GB2312" w:hAnsi="仿宋_GB2312" w:cs="仿宋_GB2312" w:eastAsia="仿宋_GB2312"/>
                <w:sz w:val="44"/>
                <w:b/>
              </w:rPr>
              <w:t>商务要求</w:t>
            </w:r>
          </w:p>
          <w:p>
            <w:pPr>
              <w:pStyle w:val="null3"/>
              <w:ind w:firstLine="482"/>
              <w:jc w:val="both"/>
            </w:pPr>
            <w:r>
              <w:rPr>
                <w:rFonts w:ascii="仿宋_GB2312" w:hAnsi="仿宋_GB2312" w:cs="仿宋_GB2312" w:eastAsia="仿宋_GB2312"/>
                <w:sz w:val="24"/>
                <w:b/>
              </w:rPr>
              <w:t>一、交货时间及地点：</w:t>
            </w:r>
          </w:p>
          <w:p>
            <w:pPr>
              <w:pStyle w:val="null3"/>
              <w:ind w:firstLine="840"/>
              <w:jc w:val="both"/>
            </w:pPr>
            <w:r>
              <w:rPr>
                <w:rFonts w:ascii="仿宋_GB2312" w:hAnsi="仿宋_GB2312" w:cs="仿宋_GB2312" w:eastAsia="仿宋_GB2312"/>
                <w:sz w:val="24"/>
              </w:rPr>
              <w:t>1.</w:t>
            </w:r>
            <w:r>
              <w:rPr>
                <w:rFonts w:ascii="仿宋_GB2312" w:hAnsi="仿宋_GB2312" w:cs="仿宋_GB2312" w:eastAsia="仿宋_GB2312"/>
                <w:sz w:val="24"/>
              </w:rPr>
              <w:t>交货时间：</w:t>
            </w:r>
            <w:r>
              <w:rPr>
                <w:rFonts w:ascii="仿宋_GB2312" w:hAnsi="仿宋_GB2312" w:cs="仿宋_GB2312" w:eastAsia="仿宋_GB2312"/>
                <w:sz w:val="24"/>
              </w:rPr>
              <w:t>自签订合同后30</w:t>
            </w:r>
            <w:r>
              <w:rPr>
                <w:rFonts w:ascii="仿宋_GB2312" w:hAnsi="仿宋_GB2312" w:cs="仿宋_GB2312" w:eastAsia="仿宋_GB2312"/>
                <w:sz w:val="24"/>
              </w:rPr>
              <w:t>个日历日内完成供货。</w:t>
            </w:r>
          </w:p>
          <w:p>
            <w:pPr>
              <w:pStyle w:val="null3"/>
              <w:ind w:firstLine="588"/>
              <w:jc w:val="both"/>
            </w:pPr>
            <w:r>
              <w:rPr>
                <w:rFonts w:ascii="仿宋_GB2312" w:hAnsi="仿宋_GB2312" w:cs="仿宋_GB2312" w:eastAsia="仿宋_GB2312"/>
                <w:sz w:val="21"/>
              </w:rPr>
              <w:t xml:space="preserve">  </w:t>
            </w:r>
            <w:r>
              <w:rPr>
                <w:rFonts w:ascii="仿宋_GB2312" w:hAnsi="仿宋_GB2312" w:cs="仿宋_GB2312" w:eastAsia="仿宋_GB2312"/>
                <w:sz w:val="24"/>
              </w:rPr>
              <w:t>2.</w:t>
            </w:r>
            <w:r>
              <w:rPr>
                <w:rFonts w:ascii="仿宋_GB2312" w:hAnsi="仿宋_GB2312" w:cs="仿宋_GB2312" w:eastAsia="仿宋_GB2312"/>
                <w:sz w:val="24"/>
              </w:rPr>
              <w:t>地</w:t>
            </w:r>
            <w:r>
              <w:rPr>
                <w:rFonts w:ascii="仿宋_GB2312" w:hAnsi="仿宋_GB2312" w:cs="仿宋_GB2312" w:eastAsia="仿宋_GB2312"/>
                <w:sz w:val="24"/>
              </w:rPr>
              <w:t xml:space="preserve">  </w:t>
            </w:r>
            <w:r>
              <w:rPr>
                <w:rFonts w:ascii="仿宋_GB2312" w:hAnsi="仿宋_GB2312" w:cs="仿宋_GB2312" w:eastAsia="仿宋_GB2312"/>
                <w:sz w:val="24"/>
              </w:rPr>
              <w:t>点：</w:t>
            </w:r>
            <w:r>
              <w:rPr>
                <w:rFonts w:ascii="仿宋_GB2312" w:hAnsi="仿宋_GB2312" w:cs="仿宋_GB2312" w:eastAsia="仿宋_GB2312"/>
                <w:sz w:val="24"/>
              </w:rPr>
              <w:t>三原县林业工作站</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二</w:t>
            </w:r>
            <w:r>
              <w:rPr>
                <w:rFonts w:ascii="仿宋_GB2312" w:hAnsi="仿宋_GB2312" w:cs="仿宋_GB2312" w:eastAsia="仿宋_GB2312"/>
                <w:sz w:val="24"/>
                <w:b/>
              </w:rPr>
              <w:t>、包装、运输、安装、调试及培训要求：</w:t>
            </w:r>
          </w:p>
          <w:p>
            <w:pPr>
              <w:pStyle w:val="null3"/>
              <w:ind w:firstLine="828"/>
              <w:jc w:val="both"/>
            </w:pPr>
            <w:r>
              <w:rPr>
                <w:rFonts w:ascii="仿宋_GB2312" w:hAnsi="仿宋_GB2312" w:cs="仿宋_GB2312" w:eastAsia="仿宋_GB2312"/>
                <w:sz w:val="24"/>
              </w:rPr>
              <w:t>1.</w:t>
            </w:r>
            <w:r>
              <w:rPr>
                <w:rFonts w:ascii="仿宋_GB2312" w:hAnsi="仿宋_GB2312" w:cs="仿宋_GB2312" w:eastAsia="仿宋_GB2312"/>
                <w:sz w:val="24"/>
              </w:rPr>
              <w:t>包装：应采取防潮、防晒、防腐蚀、防震动及防止其它损坏的必要措施。成交人应承担由于其包装或防护措施不妥而引起的货物锈蚀、损坏和丢失等任何损失造成的责任或费用。</w:t>
            </w:r>
          </w:p>
          <w:p>
            <w:pPr>
              <w:pStyle w:val="null3"/>
              <w:ind w:firstLine="828"/>
              <w:jc w:val="both"/>
            </w:pPr>
            <w:r>
              <w:rPr>
                <w:rFonts w:ascii="仿宋_GB2312" w:hAnsi="仿宋_GB2312" w:cs="仿宋_GB2312" w:eastAsia="仿宋_GB2312"/>
                <w:sz w:val="24"/>
              </w:rPr>
              <w:t>2.</w:t>
            </w:r>
            <w:r>
              <w:rPr>
                <w:rFonts w:ascii="仿宋_GB2312" w:hAnsi="仿宋_GB2312" w:cs="仿宋_GB2312" w:eastAsia="仿宋_GB2312"/>
                <w:sz w:val="24"/>
              </w:rPr>
              <w:t>运输：选择运输风险小、运费低、距离短的运输路线。运杂费一次包死在总价内，包括生产厂到施工现场所需的装卸、运输（含保险费）、现场保管费、二次倒运费、吊装费等费用。</w:t>
            </w:r>
          </w:p>
          <w:p>
            <w:pPr>
              <w:pStyle w:val="null3"/>
              <w:ind w:firstLine="828"/>
              <w:jc w:val="both"/>
            </w:pPr>
            <w:r>
              <w:rPr>
                <w:rFonts w:ascii="仿宋_GB2312" w:hAnsi="仿宋_GB2312" w:cs="仿宋_GB2312" w:eastAsia="仿宋_GB2312"/>
                <w:sz w:val="24"/>
              </w:rPr>
              <w:t>3.</w:t>
            </w:r>
            <w:r>
              <w:rPr>
                <w:rFonts w:ascii="仿宋_GB2312" w:hAnsi="仿宋_GB2312" w:cs="仿宋_GB2312" w:eastAsia="仿宋_GB2312"/>
                <w:sz w:val="24"/>
              </w:rPr>
              <w:t>安装、调试及培训：成交人负责所有设备的安装、调试、培训工作，所有费用一次包死在总价内。每套设备安装调试完毕后，成交人必须安排技术人员对使用单位的设备管理人员进行操作应用及维护保养方面的技能培训，使其掌握基本技能。</w:t>
            </w:r>
          </w:p>
          <w:p>
            <w:pPr>
              <w:pStyle w:val="null3"/>
              <w:ind w:firstLine="482"/>
              <w:jc w:val="both"/>
            </w:pPr>
            <w:r>
              <w:rPr>
                <w:rFonts w:ascii="仿宋_GB2312" w:hAnsi="仿宋_GB2312" w:cs="仿宋_GB2312" w:eastAsia="仿宋_GB2312"/>
                <w:sz w:val="24"/>
                <w:b/>
              </w:rPr>
              <w:t>三</w:t>
            </w:r>
            <w:r>
              <w:rPr>
                <w:rFonts w:ascii="仿宋_GB2312" w:hAnsi="仿宋_GB2312" w:cs="仿宋_GB2312" w:eastAsia="仿宋_GB2312"/>
                <w:sz w:val="24"/>
                <w:b/>
              </w:rPr>
              <w:t>、付款方式：</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货物全部运到采购人指定地方，安装完毕并经终验合格后，卖方持《终验合格单》原件和全额发票在买方处办理百分之九十五（</w:t>
            </w:r>
            <w:r>
              <w:rPr>
                <w:rFonts w:ascii="仿宋_GB2312" w:hAnsi="仿宋_GB2312" w:cs="仿宋_GB2312" w:eastAsia="仿宋_GB2312"/>
                <w:sz w:val="24"/>
              </w:rPr>
              <w:t>95%）货款的支付手续。</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自终验结束之日起</w:t>
            </w:r>
            <w:r>
              <w:rPr>
                <w:rFonts w:ascii="仿宋_GB2312" w:hAnsi="仿宋_GB2312" w:cs="仿宋_GB2312" w:eastAsia="仿宋_GB2312"/>
                <w:sz w:val="24"/>
              </w:rPr>
              <w:t>1年</w:t>
            </w:r>
            <w:r>
              <w:rPr>
                <w:rFonts w:ascii="仿宋_GB2312" w:hAnsi="仿宋_GB2312" w:cs="仿宋_GB2312" w:eastAsia="仿宋_GB2312"/>
                <w:sz w:val="24"/>
              </w:rPr>
              <w:t>后，在无索赔争议的情况下，在买方处办理百分之五（</w:t>
            </w:r>
            <w:r>
              <w:rPr>
                <w:rFonts w:ascii="仿宋_GB2312" w:hAnsi="仿宋_GB2312" w:cs="仿宋_GB2312" w:eastAsia="仿宋_GB2312"/>
                <w:sz w:val="24"/>
              </w:rPr>
              <w:t>5%）货款的支付手续。</w:t>
            </w:r>
          </w:p>
          <w:p>
            <w:pPr>
              <w:pStyle w:val="null3"/>
              <w:ind w:firstLine="480"/>
              <w:jc w:val="both"/>
            </w:pPr>
            <w:r>
              <w:rPr>
                <w:rFonts w:ascii="仿宋_GB2312" w:hAnsi="仿宋_GB2312" w:cs="仿宋_GB2312" w:eastAsia="仿宋_GB2312"/>
                <w:sz w:val="24"/>
                <w:b/>
              </w:rPr>
              <w:t>四</w:t>
            </w:r>
            <w:r>
              <w:rPr>
                <w:rFonts w:ascii="仿宋_GB2312" w:hAnsi="仿宋_GB2312" w:cs="仿宋_GB2312" w:eastAsia="仿宋_GB2312"/>
                <w:sz w:val="24"/>
                <w:b/>
              </w:rPr>
              <w:t>、验收</w:t>
            </w:r>
            <w:r>
              <w:rPr>
                <w:rFonts w:ascii="仿宋_GB2312" w:hAnsi="仿宋_GB2312" w:cs="仿宋_GB2312" w:eastAsia="仿宋_GB2312"/>
                <w:sz w:val="24"/>
                <w:b/>
              </w:rPr>
              <w:t>:</w:t>
            </w:r>
          </w:p>
          <w:p>
            <w:pPr>
              <w:pStyle w:val="null3"/>
              <w:ind w:firstLine="470"/>
              <w:jc w:val="both"/>
            </w:pPr>
            <w:r>
              <w:rPr>
                <w:rFonts w:ascii="仿宋_GB2312" w:hAnsi="仿宋_GB2312" w:cs="仿宋_GB2312" w:eastAsia="仿宋_GB2312"/>
                <w:sz w:val="24"/>
              </w:rPr>
              <w:t>1.</w:t>
            </w:r>
            <w:r>
              <w:rPr>
                <w:rFonts w:ascii="仿宋_GB2312" w:hAnsi="仿宋_GB2312" w:cs="仿宋_GB2312" w:eastAsia="仿宋_GB2312"/>
                <w:sz w:val="24"/>
              </w:rPr>
              <w:t xml:space="preserve"> </w:t>
            </w:r>
            <w:r>
              <w:rPr>
                <w:rFonts w:ascii="仿宋_GB2312" w:hAnsi="仿宋_GB2312" w:cs="仿宋_GB2312" w:eastAsia="仿宋_GB2312"/>
                <w:sz w:val="24"/>
              </w:rPr>
              <w:t>项目验收分初验和终验</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初验：货物到达交货地点后，由使用单位根据合同对货物的名称、品牌、规格、型号、产地、数量进行检查。</w:t>
            </w:r>
          </w:p>
          <w:p>
            <w:pPr>
              <w:pStyle w:val="null3"/>
              <w:ind w:firstLine="480"/>
              <w:jc w:val="both"/>
            </w:pPr>
            <w:r>
              <w:rPr>
                <w:rFonts w:ascii="仿宋_GB2312" w:hAnsi="仿宋_GB2312" w:cs="仿宋_GB2312" w:eastAsia="仿宋_GB2312"/>
                <w:sz w:val="24"/>
              </w:rPr>
              <w:t>终验：所有货物安装完毕，正常使用</w:t>
            </w:r>
            <w:r>
              <w:rPr>
                <w:rFonts w:ascii="仿宋_GB2312" w:hAnsi="仿宋_GB2312" w:cs="仿宋_GB2312" w:eastAsia="仿宋_GB2312"/>
                <w:sz w:val="24"/>
              </w:rPr>
              <w:t>20个日历日后，由采购人、使用单位进行终验（最终验收），合格后签发《终验合格单》。</w:t>
            </w:r>
            <w:r>
              <w:rPr>
                <w:rFonts w:ascii="仿宋_GB2312" w:hAnsi="仿宋_GB2312" w:cs="仿宋_GB2312" w:eastAsia="仿宋_GB2312"/>
                <w:sz w:val="21"/>
              </w:rPr>
              <w:t xml:space="preserve">   </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验收不合格的成交供应商，必须在接到通知后</w:t>
            </w:r>
            <w:r>
              <w:rPr>
                <w:rFonts w:ascii="仿宋_GB2312" w:hAnsi="仿宋_GB2312" w:cs="仿宋_GB2312" w:eastAsia="仿宋_GB2312"/>
                <w:sz w:val="24"/>
              </w:rPr>
              <w:t>7个日历日内确保货物通过验收。如接到通知后7个日历日内验收仍不合格，采购人可提出索赔或取消其供货合同。采购代理机构将把成交资格授予评审排序下一名的成交供应商。</w:t>
            </w:r>
          </w:p>
          <w:p>
            <w:pPr>
              <w:pStyle w:val="null3"/>
              <w:ind w:firstLine="470"/>
              <w:jc w:val="both"/>
            </w:pPr>
            <w:r>
              <w:rPr>
                <w:rFonts w:ascii="仿宋_GB2312" w:hAnsi="仿宋_GB2312" w:cs="仿宋_GB2312" w:eastAsia="仿宋_GB2312"/>
                <w:sz w:val="24"/>
              </w:rPr>
              <w:t>3.</w:t>
            </w:r>
            <w:r>
              <w:rPr>
                <w:rFonts w:ascii="仿宋_GB2312" w:hAnsi="仿宋_GB2312" w:cs="仿宋_GB2312" w:eastAsia="仿宋_GB2312"/>
                <w:sz w:val="24"/>
              </w:rPr>
              <w:t>验收依据</w:t>
            </w:r>
          </w:p>
          <w:p>
            <w:pPr>
              <w:pStyle w:val="null3"/>
              <w:ind w:firstLine="470"/>
              <w:jc w:val="both"/>
            </w:pPr>
            <w:r>
              <w:rPr>
                <w:rFonts w:ascii="仿宋_GB2312" w:hAnsi="仿宋_GB2312" w:cs="仿宋_GB2312" w:eastAsia="仿宋_GB2312"/>
                <w:sz w:val="24"/>
              </w:rPr>
              <w:t>3.1</w:t>
            </w:r>
            <w:r>
              <w:rPr>
                <w:rFonts w:ascii="仿宋_GB2312" w:hAnsi="仿宋_GB2312" w:cs="仿宋_GB2312" w:eastAsia="仿宋_GB2312"/>
                <w:sz w:val="24"/>
              </w:rPr>
              <w:t>合同文本及合同补充文件（条款）</w:t>
            </w:r>
            <w:r>
              <w:rPr>
                <w:rFonts w:ascii="仿宋_GB2312" w:hAnsi="仿宋_GB2312" w:cs="仿宋_GB2312" w:eastAsia="仿宋_GB2312"/>
                <w:sz w:val="24"/>
              </w:rPr>
              <w:t>。</w:t>
            </w:r>
          </w:p>
          <w:p>
            <w:pPr>
              <w:pStyle w:val="null3"/>
              <w:ind w:firstLine="470"/>
              <w:jc w:val="both"/>
            </w:pPr>
            <w:r>
              <w:rPr>
                <w:rFonts w:ascii="仿宋_GB2312" w:hAnsi="仿宋_GB2312" w:cs="仿宋_GB2312" w:eastAsia="仿宋_GB2312"/>
                <w:sz w:val="24"/>
              </w:rPr>
              <w:t>3.2</w:t>
            </w:r>
            <w:r>
              <w:rPr>
                <w:rFonts w:ascii="仿宋_GB2312" w:hAnsi="仿宋_GB2312" w:cs="仿宋_GB2312" w:eastAsia="仿宋_GB2312"/>
                <w:sz w:val="24"/>
              </w:rPr>
              <w:t>产品的合法来源渠道证明文件。</w:t>
            </w:r>
          </w:p>
          <w:p>
            <w:pPr>
              <w:pStyle w:val="null3"/>
              <w:ind w:firstLine="470"/>
              <w:jc w:val="both"/>
            </w:pPr>
            <w:r>
              <w:rPr>
                <w:rFonts w:ascii="仿宋_GB2312" w:hAnsi="仿宋_GB2312" w:cs="仿宋_GB2312" w:eastAsia="仿宋_GB2312"/>
                <w:sz w:val="24"/>
              </w:rPr>
              <w:t>3.3</w:t>
            </w:r>
            <w:r>
              <w:rPr>
                <w:rFonts w:ascii="仿宋_GB2312" w:hAnsi="仿宋_GB2312" w:cs="仿宋_GB2312" w:eastAsia="仿宋_GB2312"/>
                <w:sz w:val="24"/>
              </w:rPr>
              <w:t>磋商文件。</w:t>
            </w:r>
          </w:p>
          <w:p>
            <w:pPr>
              <w:pStyle w:val="null3"/>
              <w:ind w:firstLine="470"/>
              <w:jc w:val="both"/>
            </w:pPr>
            <w:r>
              <w:rPr>
                <w:rFonts w:ascii="仿宋_GB2312" w:hAnsi="仿宋_GB2312" w:cs="仿宋_GB2312" w:eastAsia="仿宋_GB2312"/>
                <w:sz w:val="24"/>
              </w:rPr>
              <w:t>3.4</w:t>
            </w:r>
            <w:r>
              <w:rPr>
                <w:rFonts w:ascii="仿宋_GB2312" w:hAnsi="仿宋_GB2312" w:cs="仿宋_GB2312" w:eastAsia="仿宋_GB2312"/>
                <w:sz w:val="24"/>
              </w:rPr>
              <w:t>成交供应商的竞争性磋商响应文件。</w:t>
            </w:r>
          </w:p>
          <w:p>
            <w:pPr>
              <w:pStyle w:val="null3"/>
              <w:ind w:firstLine="470"/>
              <w:jc w:val="both"/>
            </w:pPr>
            <w:r>
              <w:rPr>
                <w:rFonts w:ascii="仿宋_GB2312" w:hAnsi="仿宋_GB2312" w:cs="仿宋_GB2312" w:eastAsia="仿宋_GB2312"/>
                <w:sz w:val="24"/>
              </w:rPr>
              <w:t>3.5</w:t>
            </w:r>
            <w:r>
              <w:rPr>
                <w:rFonts w:ascii="仿宋_GB2312" w:hAnsi="仿宋_GB2312" w:cs="仿宋_GB2312" w:eastAsia="仿宋_GB2312"/>
                <w:sz w:val="24"/>
              </w:rPr>
              <w:t>合同货物清单。</w:t>
            </w:r>
          </w:p>
          <w:p>
            <w:pPr>
              <w:pStyle w:val="null3"/>
              <w:ind w:firstLine="470"/>
              <w:jc w:val="both"/>
            </w:pPr>
            <w:r>
              <w:rPr>
                <w:rFonts w:ascii="仿宋_GB2312" w:hAnsi="仿宋_GB2312" w:cs="仿宋_GB2312" w:eastAsia="仿宋_GB2312"/>
                <w:sz w:val="24"/>
              </w:rPr>
              <w:t>3.6</w:t>
            </w:r>
            <w:r>
              <w:rPr>
                <w:rFonts w:ascii="仿宋_GB2312" w:hAnsi="仿宋_GB2312" w:cs="仿宋_GB2312" w:eastAsia="仿宋_GB2312"/>
                <w:sz w:val="24"/>
              </w:rPr>
              <w:t>生产厂家的企业资质、货物的执行标准。</w:t>
            </w:r>
          </w:p>
          <w:p>
            <w:pPr>
              <w:pStyle w:val="null3"/>
              <w:ind w:firstLine="482"/>
              <w:jc w:val="both"/>
            </w:pPr>
            <w:r>
              <w:rPr>
                <w:rFonts w:ascii="仿宋_GB2312" w:hAnsi="仿宋_GB2312" w:cs="仿宋_GB2312" w:eastAsia="仿宋_GB2312"/>
                <w:sz w:val="24"/>
                <w:b/>
              </w:rPr>
              <w:t>六、</w:t>
            </w:r>
            <w:r>
              <w:rPr>
                <w:rFonts w:ascii="仿宋_GB2312" w:hAnsi="仿宋_GB2312" w:cs="仿宋_GB2312" w:eastAsia="仿宋_GB2312"/>
                <w:sz w:val="24"/>
                <w:b/>
              </w:rPr>
              <w:t>质量保证</w:t>
            </w:r>
          </w:p>
          <w:p>
            <w:pPr>
              <w:pStyle w:val="null3"/>
              <w:ind w:firstLine="470"/>
              <w:jc w:val="both"/>
            </w:pPr>
            <w:r>
              <w:rPr>
                <w:rFonts w:ascii="仿宋_GB2312" w:hAnsi="仿宋_GB2312" w:cs="仿宋_GB2312" w:eastAsia="仿宋_GB2312"/>
                <w:sz w:val="24"/>
              </w:rPr>
              <w:t>1.</w:t>
            </w:r>
            <w:r>
              <w:rPr>
                <w:rFonts w:ascii="仿宋_GB2312" w:hAnsi="仿宋_GB2312" w:cs="仿宋_GB2312" w:eastAsia="仿宋_GB2312"/>
                <w:sz w:val="24"/>
                <w:b/>
              </w:rPr>
              <w:t>质保期为</w:t>
            </w:r>
            <w:r>
              <w:rPr>
                <w:rFonts w:ascii="仿宋_GB2312" w:hAnsi="仿宋_GB2312" w:cs="仿宋_GB2312" w:eastAsia="仿宋_GB2312"/>
                <w:sz w:val="24"/>
                <w:b/>
              </w:rPr>
              <w:t>终验合格后不少于</w:t>
            </w:r>
            <w:r>
              <w:rPr>
                <w:rFonts w:ascii="仿宋_GB2312" w:hAnsi="仿宋_GB2312" w:cs="仿宋_GB2312" w:eastAsia="仿宋_GB2312"/>
                <w:sz w:val="24"/>
                <w:b/>
              </w:rPr>
              <w:t>1</w:t>
            </w:r>
            <w:r>
              <w:rPr>
                <w:rFonts w:ascii="仿宋_GB2312" w:hAnsi="仿宋_GB2312" w:cs="仿宋_GB2312" w:eastAsia="仿宋_GB2312"/>
                <w:sz w:val="24"/>
                <w:b/>
              </w:rPr>
              <w:t>2</w:t>
            </w:r>
            <w:r>
              <w:rPr>
                <w:rFonts w:ascii="仿宋_GB2312" w:hAnsi="仿宋_GB2312" w:cs="仿宋_GB2312" w:eastAsia="仿宋_GB2312"/>
                <w:sz w:val="24"/>
                <w:b/>
              </w:rPr>
              <w:t>个月</w:t>
            </w:r>
            <w:r>
              <w:rPr>
                <w:rFonts w:ascii="仿宋_GB2312" w:hAnsi="仿宋_GB2312" w:cs="仿宋_GB2312" w:eastAsia="仿宋_GB2312"/>
                <w:sz w:val="24"/>
              </w:rPr>
              <w:t>（参数中有具体要求的，按参数要求提供质保）。</w:t>
            </w:r>
            <w:r>
              <w:rPr>
                <w:rFonts w:ascii="仿宋_GB2312" w:hAnsi="仿宋_GB2312" w:cs="仿宋_GB2312" w:eastAsia="仿宋_GB2312"/>
                <w:sz w:val="24"/>
              </w:rPr>
              <w:t>成交供应商承诺的质保时间超过磋商文件要求的，按其承诺时间质保。</w:t>
            </w:r>
          </w:p>
          <w:p>
            <w:pPr>
              <w:pStyle w:val="null3"/>
              <w:ind w:firstLine="470"/>
              <w:jc w:val="both"/>
            </w:pPr>
            <w:r>
              <w:rPr>
                <w:rFonts w:ascii="仿宋_GB2312" w:hAnsi="仿宋_GB2312" w:cs="仿宋_GB2312" w:eastAsia="仿宋_GB2312"/>
                <w:sz w:val="24"/>
              </w:rPr>
              <w:t>2.</w:t>
            </w:r>
            <w:r>
              <w:rPr>
                <w:rFonts w:ascii="仿宋_GB2312" w:hAnsi="仿宋_GB2312" w:cs="仿宋_GB2312" w:eastAsia="仿宋_GB2312"/>
                <w:sz w:val="24"/>
              </w:rPr>
              <w:t>成交供应商承诺的质保期起始时间为终验合格之日。</w:t>
            </w:r>
          </w:p>
          <w:p>
            <w:pPr>
              <w:pStyle w:val="null3"/>
              <w:ind w:firstLine="470"/>
              <w:jc w:val="both"/>
            </w:pPr>
            <w:r>
              <w:rPr>
                <w:rFonts w:ascii="仿宋_GB2312" w:hAnsi="仿宋_GB2312" w:cs="仿宋_GB2312" w:eastAsia="仿宋_GB2312"/>
                <w:sz w:val="24"/>
              </w:rPr>
              <w:t>3.</w:t>
            </w:r>
            <w:r>
              <w:rPr>
                <w:rFonts w:ascii="仿宋_GB2312" w:hAnsi="仿宋_GB2312" w:cs="仿宋_GB2312" w:eastAsia="仿宋_GB2312"/>
                <w:sz w:val="24"/>
              </w:rPr>
              <w:t>所有货物质量必须符合国家有关规范和相关政策。所有货物及辅材必须是未使用过的新货物，质量优良、渠道正当，配置合理。</w:t>
            </w:r>
          </w:p>
          <w:p>
            <w:pPr>
              <w:pStyle w:val="null3"/>
              <w:ind w:firstLine="470"/>
              <w:jc w:val="both"/>
            </w:pPr>
            <w:r>
              <w:rPr>
                <w:rFonts w:ascii="仿宋_GB2312" w:hAnsi="仿宋_GB2312" w:cs="仿宋_GB2312" w:eastAsia="仿宋_GB2312"/>
                <w:sz w:val="24"/>
              </w:rPr>
              <w:t>4.</w:t>
            </w:r>
            <w:r>
              <w:rPr>
                <w:rFonts w:ascii="仿宋_GB2312" w:hAnsi="仿宋_GB2312" w:cs="仿宋_GB2312" w:eastAsia="仿宋_GB2312"/>
                <w:sz w:val="24"/>
              </w:rPr>
              <w:t>质保期出现的质量问题由成交供应商负责解决并承担所有费用。质保期后如需更换零部件，成交供应商应以优惠价提供。</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4"/>
                <w:b/>
              </w:rPr>
              <w:t xml:space="preserve"> </w:t>
            </w:r>
            <w:r>
              <w:rPr>
                <w:rFonts w:ascii="仿宋_GB2312" w:hAnsi="仿宋_GB2312" w:cs="仿宋_GB2312" w:eastAsia="仿宋_GB2312"/>
                <w:sz w:val="24"/>
                <w:b/>
              </w:rPr>
              <w:t>七、合同实施：</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成交人应在合同签订后</w:t>
            </w:r>
            <w:r>
              <w:rPr>
                <w:rFonts w:ascii="仿宋_GB2312" w:hAnsi="仿宋_GB2312" w:cs="仿宋_GB2312" w:eastAsia="仿宋_GB2312"/>
                <w:sz w:val="24"/>
              </w:rPr>
              <w:t>7个日历日内安排人员（项目组成人员简历表所列）与使用单位就送货、安装、调试、培训等工作进行安排、部署。</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若未能在交货期内完成合同规定的义务，由此对采购人造成的延误和一切损失，由成交人承担和赔偿。</w:t>
            </w:r>
          </w:p>
          <w:p>
            <w:pPr>
              <w:pStyle w:val="null3"/>
              <w:ind w:firstLine="482"/>
              <w:jc w:val="both"/>
            </w:pPr>
            <w:r>
              <w:rPr>
                <w:rFonts w:ascii="仿宋_GB2312" w:hAnsi="仿宋_GB2312" w:cs="仿宋_GB2312" w:eastAsia="仿宋_GB2312"/>
                <w:sz w:val="24"/>
                <w:b/>
              </w:rPr>
              <w:t>八、违约责任：</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按《</w:t>
            </w:r>
            <w:r>
              <w:rPr>
                <w:rFonts w:ascii="仿宋_GB2312" w:hAnsi="仿宋_GB2312" w:cs="仿宋_GB2312" w:eastAsia="仿宋_GB2312"/>
                <w:sz w:val="24"/>
              </w:rPr>
              <w:t>中华人民共和国民法典</w:t>
            </w:r>
            <w:r>
              <w:rPr>
                <w:rFonts w:ascii="仿宋_GB2312" w:hAnsi="仿宋_GB2312" w:cs="仿宋_GB2312" w:eastAsia="仿宋_GB2312"/>
                <w:sz w:val="24"/>
              </w:rPr>
              <w:t>》中的相关条款执行。</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未按合同要求提供货物或货物质量不能满足技术要求，采购人有权终止合同，并对供方违约行为进行追究，同时按《</w:t>
            </w:r>
            <w:r>
              <w:rPr>
                <w:rFonts w:ascii="仿宋_GB2312" w:hAnsi="仿宋_GB2312" w:cs="仿宋_GB2312" w:eastAsia="仿宋_GB2312"/>
                <w:sz w:val="24"/>
              </w:rPr>
              <w:t>中华人民共和国政府采购法</w:t>
            </w:r>
            <w:r>
              <w:rPr>
                <w:rFonts w:ascii="仿宋_GB2312" w:hAnsi="仿宋_GB2312" w:cs="仿宋_GB2312" w:eastAsia="仿宋_GB2312"/>
                <w:sz w:val="24"/>
              </w:rPr>
              <w:t>》的有关规定进行处罚。</w:t>
            </w:r>
          </w:p>
          <w:p>
            <w:pPr>
              <w:pStyle w:val="null3"/>
              <w:ind w:firstLine="480"/>
              <w:jc w:val="both"/>
            </w:pPr>
            <w:r>
              <w:rPr>
                <w:rFonts w:ascii="仿宋_GB2312" w:hAnsi="仿宋_GB2312" w:cs="仿宋_GB2312" w:eastAsia="仿宋_GB2312"/>
                <w:sz w:val="24"/>
                <w:b/>
              </w:rPr>
              <w:t>注：商务要求为实质性要求，不得负偏离。</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13"/>
                <w:color w:val="000000"/>
              </w:rPr>
              <w:t>1、供货期：自合同签订之日起30个日历天；</w:t>
            </w:r>
          </w:p>
          <w:p>
            <w:pPr>
              <w:pStyle w:val="null3"/>
            </w:pPr>
            <w:r>
              <w:rPr>
                <w:rFonts w:ascii="仿宋_GB2312" w:hAnsi="仿宋_GB2312" w:cs="仿宋_GB2312" w:eastAsia="仿宋_GB2312"/>
                <w:sz w:val="13"/>
                <w:color w:val="000000"/>
              </w:rPr>
              <w:t>2、质量保修期：项目实施结束后，一年内（12个月）对监测体系的设备定期进行维护和维修，确保设备正常使用。</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供应商根据单位自身情况及项目实际情况配置。</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供应商根据单位自身情况及项目实际情况配置。</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响应文件，同时，线下提交纸质响应文件正本壹份、副本壹份、电子版壹份（正本扫描件，U盘份）。2）纸质响应文件正副本分别胶装，标明供应商名称密封递交，递交截止时间同在线递交电子响应文件截止时间一致。3）若电子响应文件与纸质响应文件不一致的，以线上提交的电子响应文件为准。4）线下递交文件时间：同响应文件截止时间、开标时间一致。线下递交文件地点：陕西省西咸新区沣西新城中铁港沣国际十三层 1308室。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供应商应提交的相关资格证明材料包2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供应商应提交的相关资格证明材料包2</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供应商应提交的相关资格证明材料包2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供应商须具有独立承担民事责任能力的法人、其他组织或自然人，并出具合法有效的营业执照或事业单位法人证书等国家规定的相关证明，自然人参与的提供其身份证明。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法定代表人证明书或法定代表人授权书</w:t>
            </w:r>
          </w:p>
        </w:tc>
        <w:tc>
          <w:tcPr>
            <w:tcW w:type="dxa" w:w="3322"/>
          </w:tcPr>
          <w:p>
            <w:pPr>
              <w:pStyle w:val="null3"/>
            </w:pPr>
            <w:r>
              <w:rPr>
                <w:rFonts w:ascii="仿宋_GB2312" w:hAnsi="仿宋_GB2312" w:cs="仿宋_GB2312" w:eastAsia="仿宋_GB2312"/>
              </w:rPr>
              <w:t>供应商应授权合法的人员参加全过程，其中法定代表人直接参加的，须出具法人身份证，并与营业执照上信息一致；法定代表人授权代表参加的，须出具法定代表人授权书及授权代表身份证。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财务要求</w:t>
            </w:r>
          </w:p>
        </w:tc>
        <w:tc>
          <w:tcPr>
            <w:tcW w:type="dxa" w:w="3322"/>
          </w:tcPr>
          <w:p>
            <w:pPr>
              <w:pStyle w:val="null3"/>
            </w:pPr>
            <w:r>
              <w:rPr>
                <w:rFonts w:ascii="仿宋_GB2312" w:hAnsi="仿宋_GB2312" w:cs="仿宋_GB2312" w:eastAsia="仿宋_GB2312"/>
              </w:rPr>
              <w:t>提供2024年度经审计的财务报告（成立时间至提交响应文件截止时间不足一年的可提供成立后任意时段的资产负债表），或开标前三个月内基本存款账户开户银行出具的资信证明及基本存款账户开户许可证（或基本账户信息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信誉记录</w:t>
            </w:r>
          </w:p>
        </w:tc>
        <w:tc>
          <w:tcPr>
            <w:tcW w:type="dxa" w:w="3322"/>
          </w:tcPr>
          <w:p>
            <w:pPr>
              <w:pStyle w:val="null3"/>
            </w:pPr>
            <w:r>
              <w:rPr>
                <w:rFonts w:ascii="仿宋_GB2312" w:hAnsi="仿宋_GB2312" w:cs="仿宋_GB2312" w:eastAsia="仿宋_GB2312"/>
              </w:rPr>
              <w:t>供应商未被列入《信用中国》（https：//www.creditchina.gov.cn）“重大税收违法失信主体”名单和“失信被执行人”查询（页面跳转至《中国执行信息公开网》http：//zxgk.court.gov.cn/shixin）及不处于《中国政府采购网》（http：//www.ccgp.gov.cn）记录的“政府采购严重违法失信行为记录名单”中的禁止参加政府采购活动期间，提供书面信用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控股、管理关系声明</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联合体要求</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供应商须具有独立承担民事责任能力的法人、其他组织或自然人，并出具合法有效的营业执照或事业单位法人证书等国家规定的相关证明，自然人参与的提供其身份证明。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供应商应提交的相关资格证明材料包2</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法定代表人证明书或法定代表人授权书</w:t>
            </w:r>
          </w:p>
        </w:tc>
        <w:tc>
          <w:tcPr>
            <w:tcW w:type="dxa" w:w="3322"/>
          </w:tcPr>
          <w:p>
            <w:pPr>
              <w:pStyle w:val="null3"/>
            </w:pPr>
            <w:r>
              <w:rPr>
                <w:rFonts w:ascii="仿宋_GB2312" w:hAnsi="仿宋_GB2312" w:cs="仿宋_GB2312" w:eastAsia="仿宋_GB2312"/>
              </w:rPr>
              <w:t>供应商应授权合法的人员参加全过程，其中法定代表人直接参加的，须出具法人身份证，并与营业执照上信息一致；法定代表人授权代表参加的，须出具法定代表人授权书及授权代表身份证。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供应商应提交的相关资格证明材料包2</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财务要求</w:t>
            </w:r>
          </w:p>
        </w:tc>
        <w:tc>
          <w:tcPr>
            <w:tcW w:type="dxa" w:w="3322"/>
          </w:tcPr>
          <w:p>
            <w:pPr>
              <w:pStyle w:val="null3"/>
            </w:pPr>
            <w:r>
              <w:rPr>
                <w:rFonts w:ascii="仿宋_GB2312" w:hAnsi="仿宋_GB2312" w:cs="仿宋_GB2312" w:eastAsia="仿宋_GB2312"/>
              </w:rPr>
              <w:t>提供2024年度经审计的财务报告（成立时间至提交响应文件截止时间不足一年的可提供成立后任意时段的资产负债表），或开标前三个月内基本存款账户开户银行出具的资信证明及基本存款账户开户许可证（或基本账户信息表）。</w:t>
            </w:r>
          </w:p>
        </w:tc>
        <w:tc>
          <w:tcPr>
            <w:tcW w:type="dxa" w:w="1661"/>
          </w:tcPr>
          <w:p>
            <w:pPr>
              <w:pStyle w:val="null3"/>
            </w:pPr>
            <w:r>
              <w:rPr>
                <w:rFonts w:ascii="仿宋_GB2312" w:hAnsi="仿宋_GB2312" w:cs="仿宋_GB2312" w:eastAsia="仿宋_GB2312"/>
              </w:rPr>
              <w:t>供应商应提交的相关资格证明材料包2</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供应商应提交的相关资格证明材料包2</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供应商应提交的相关资格证明材料包2</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供应商应提交的相关资格证明材料包2</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供应商应提交的相关资格证明材料包2</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信誉记录</w:t>
            </w:r>
          </w:p>
        </w:tc>
        <w:tc>
          <w:tcPr>
            <w:tcW w:type="dxa" w:w="3322"/>
          </w:tcPr>
          <w:p>
            <w:pPr>
              <w:pStyle w:val="null3"/>
            </w:pPr>
            <w:r>
              <w:rPr>
                <w:rFonts w:ascii="仿宋_GB2312" w:hAnsi="仿宋_GB2312" w:cs="仿宋_GB2312" w:eastAsia="仿宋_GB2312"/>
              </w:rPr>
              <w:t>供应商未被列入《信用中国》（https：//www.creditchina.gov.cn）“重大税收违法失信主体”名单和“失信被执行人”查询（页面跳转至《中国执行信息公开网》http：//zxgk.court.gov.cn/shixin）及不处于《中国政府采购网》（http：//www.ccgp.gov.cn）记录的“政府采购严重违法失信行为记录名单”中的禁止参加政府采购活动期间，提供书面信用承诺函</w:t>
            </w:r>
          </w:p>
        </w:tc>
        <w:tc>
          <w:tcPr>
            <w:tcW w:type="dxa" w:w="1661"/>
          </w:tcPr>
          <w:p>
            <w:pPr>
              <w:pStyle w:val="null3"/>
            </w:pPr>
            <w:r>
              <w:rPr>
                <w:rFonts w:ascii="仿宋_GB2312" w:hAnsi="仿宋_GB2312" w:cs="仿宋_GB2312" w:eastAsia="仿宋_GB2312"/>
              </w:rPr>
              <w:t>供应商应提交的相关资格证明材料包2</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控股、管理关系声明</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供应商应提交的相关资格证明材料包2</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联合体要求</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供应商应提交的相关资格证明材料包2</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中小企业声明函 技术方案 供应商应提交的相关资格证明材料 强制优先采购产品承诺函 商务条款响应偏离表 响应文件封面 项目管理机构组成表 残疾人福利性单位声明函 报价函 标的清单 供应商类似项目业绩一览表 响应函 投标人需要补充的事宜 技术规格响应偏离表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响应文件构成无重大缺项（详细评审除外），按照文件要求的格式编写响应文件</w:t>
            </w:r>
          </w:p>
        </w:tc>
        <w:tc>
          <w:tcPr>
            <w:tcW w:type="dxa" w:w="1661"/>
          </w:tcPr>
          <w:p>
            <w:pPr>
              <w:pStyle w:val="null3"/>
            </w:pPr>
            <w:r>
              <w:rPr>
                <w:rFonts w:ascii="仿宋_GB2312" w:hAnsi="仿宋_GB2312" w:cs="仿宋_GB2312" w:eastAsia="仿宋_GB2312"/>
              </w:rPr>
              <w:t>已标价工程量清单 中小企业声明函 技术方案 供应商应提交的相关资格证明材料 强制优先采购产品承诺函 商务条款响应偏离表 响应文件封面 项目管理机构组成表 残疾人福利性单位声明函 报价函 标的清单 供应商类似项目业绩一览表 响应函 投标人需要补充的事宜 主要人员简历表 技术规格响应偏离表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已标价工程量清单 中小企业声明函 技术方案 供应商应提交的相关资格证明材料 强制优先采购产品承诺函 商务条款响应偏离表 响应文件封面 项目管理机构组成表 残疾人福利性单位声明函 报价函 标的清单 供应商类似项目业绩一览表 响应函 投标人需要补充的事宜 技术规格响应偏离表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响应文件的签署、盖章符合文件要求，供应商递交的响应文件与本项目名称一致</w:t>
            </w:r>
          </w:p>
        </w:tc>
        <w:tc>
          <w:tcPr>
            <w:tcW w:type="dxa" w:w="1661"/>
          </w:tcPr>
          <w:p>
            <w:pPr>
              <w:pStyle w:val="null3"/>
            </w:pPr>
            <w:r>
              <w:rPr>
                <w:rFonts w:ascii="仿宋_GB2312" w:hAnsi="仿宋_GB2312" w:cs="仿宋_GB2312" w:eastAsia="仿宋_GB2312"/>
              </w:rPr>
              <w:t>已标价工程量清单 中小企业声明函 技术方案 供应商应提交的相关资格证明材料 强制优先采购产品承诺函 商务条款响应偏离表 响应文件封面 项目管理机构组成表 残疾人福利性单位声明函 报价函 标的清单 供应商类似项目业绩一览表 响应函 投标人需要补充的事宜 主要人员简历表 技术规格响应偏离表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已标价工程量清单 中小企业声明函 技术方案 供应商应提交的相关资格证明材料 强制优先采购产品承诺函 商务条款响应偏离表 响应文件封面 项目管理机构组成表 残疾人福利性单位声明函 报价函 标的清单 供应商类似项目业绩一览表 响应函 投标人需要补充的事宜 主要人员简历表 技术规格响应偏离表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已标价工程量清单 中小企业声明函 技术方案 供应商应提交的相关资格证明材料 强制优先采购产品承诺函 商务条款响应偏离表 响应文件封面 项目管理机构组成表 残疾人福利性单位声明函 报价函 标的清单 供应商类似项目业绩一览表 响应函 投标人需要补充的事宜 技术规格响应偏离表 主要人员简历表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商务条款响应偏离表包 分项报价表 中小企业声明函 选配件报价表 供应商应提交的相关资格证明材料包2 强制优先采购产品承诺函 响应文件封面 项目管理机构组成表 残疾人福利性单位声明函 报价函 技术规格响应偏离表包2 标的清单 供应商类似项目业绩一览表 投标人需要补充的事宜包2 项目实施方案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响应文件构成无重大缺项（详细评审除外），按照文件要求的格式编写响应文件</w:t>
            </w:r>
          </w:p>
        </w:tc>
        <w:tc>
          <w:tcPr>
            <w:tcW w:type="dxa" w:w="1661"/>
          </w:tcPr>
          <w:p>
            <w:pPr>
              <w:pStyle w:val="null3"/>
            </w:pPr>
            <w:r>
              <w:rPr>
                <w:rFonts w:ascii="仿宋_GB2312" w:hAnsi="仿宋_GB2312" w:cs="仿宋_GB2312" w:eastAsia="仿宋_GB2312"/>
              </w:rPr>
              <w:t>商务条款响应偏离表包 分项报价表 中小企业声明函 选配件报价表 供应商应提交的相关资格证明材料包2 强制优先采购产品承诺函 响应文件封面 项目管理机构组成表 残疾人福利性单位声明函 报价函 技术规格响应偏离表包2 标的清单 供应商类似项目业绩一览表 投标人需要补充的事宜包2 项目实施方案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商务条款响应偏离表包 分项报价表 中小企业声明函 选配件报价表 供应商应提交的相关资格证明材料包2 强制优先采购产品承诺函 响应文件封面 项目管理机构组成表 残疾人福利性单位声明函 报价函 技术规格响应偏离表包2 标的清单 供应商类似项目业绩一览表 投标人需要补充的事宜包2 项目实施方案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响应文件的签署、盖章符合文件要求，供应商递交的响应文件与本项目名称一致</w:t>
            </w:r>
          </w:p>
        </w:tc>
        <w:tc>
          <w:tcPr>
            <w:tcW w:type="dxa" w:w="1661"/>
          </w:tcPr>
          <w:p>
            <w:pPr>
              <w:pStyle w:val="null3"/>
            </w:pPr>
            <w:r>
              <w:rPr>
                <w:rFonts w:ascii="仿宋_GB2312" w:hAnsi="仿宋_GB2312" w:cs="仿宋_GB2312" w:eastAsia="仿宋_GB2312"/>
              </w:rPr>
              <w:t>商务条款响应偏离表包 分项报价表 中小企业声明函 选配件报价表 供应商应提交的相关资格证明材料包2 强制优先采购产品承诺函 响应文件封面 项目管理机构组成表 残疾人福利性单位声明函 报价函 技术规格响应偏离表包2 标的清单 供应商类似项目业绩一览表 投标人需要补充的事宜包2 项目实施方案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商务条款响应偏离表包 分项报价表 中小企业声明函 选配件报价表 供应商应提交的相关资格证明材料包2 强制优先采购产品承诺函 响应文件封面 项目管理机构组成表 残疾人福利性单位声明函 报价函 技术规格响应偏离表包2 标的清单 供应商类似项目业绩一览表 投标人需要补充的事宜包2 项目实施方案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商务条款响应偏离表包 分项报价表 中小企业声明函 选配件报价表 供应商应提交的相关资格证明材料包2 强制优先采购产品承诺函 响应文件封面 项目管理机构组成表 残疾人福利性单位声明函 报价函 技术规格响应偏离表包2 标的清单 供应商类似项目业绩一览表 投标人需要补充的事宜包2 项目实施方案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一、根据供应商提供的技术方案描述情况进行赋分。 二、评审标准：（1）方案详细、完整，能高质量的满足项目及采购人要求，确保项目质量，得15分；（2） 方案较详细、较完整，能满足项目及采购人要求，保证项目质量，得 13分；（3）方案相对完整、可行 ，能基本满足项目及采购人要求，保证项目质量，得10分；（4）方案基本完整、可行，基本保证项目质量，得7分；（5）方案较简单， 得4分；（6）方案简略，可行性存在不足，得2分；（7）未提供不计分。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投标人需要补充的事宜</w:t>
            </w:r>
          </w:p>
          <w:p>
            <w:pPr>
              <w:pStyle w:val="null3"/>
            </w:pPr>
            <w:r>
              <w:rPr>
                <w:rFonts w:ascii="仿宋_GB2312" w:hAnsi="仿宋_GB2312" w:cs="仿宋_GB2312" w:eastAsia="仿宋_GB2312"/>
              </w:rPr>
              <w:t>技术规格响应偏离表</w:t>
            </w:r>
          </w:p>
        </w:tc>
      </w:tr>
      <w:tr>
        <w:tc>
          <w:tcPr>
            <w:tcW w:type="dxa" w:w="831"/>
            <w:vMerge/>
          </w:tcPr>
          <w:p/>
        </w:tc>
        <w:tc>
          <w:tcPr>
            <w:tcW w:type="dxa" w:w="1661"/>
          </w:tcPr>
          <w:p>
            <w:pPr>
              <w:pStyle w:val="null3"/>
            </w:pPr>
            <w:r>
              <w:rPr>
                <w:rFonts w:ascii="仿宋_GB2312" w:hAnsi="仿宋_GB2312" w:cs="仿宋_GB2312" w:eastAsia="仿宋_GB2312"/>
              </w:rPr>
              <w:t>项目管理机构及项目经理部组成</w:t>
            </w:r>
          </w:p>
        </w:tc>
        <w:tc>
          <w:tcPr>
            <w:tcW w:type="dxa" w:w="2492"/>
          </w:tcPr>
          <w:p>
            <w:pPr>
              <w:pStyle w:val="null3"/>
            </w:pPr>
            <w:r>
              <w:rPr>
                <w:rFonts w:ascii="仿宋_GB2312" w:hAnsi="仿宋_GB2312" w:cs="仿宋_GB2312" w:eastAsia="仿宋_GB2312"/>
              </w:rPr>
              <w:t>①项目管理机构②项目经理部组成评审标准：以上内容切合本项目实际情况及实施要求，内容与要点相符、每个要点均有展开详细的阐述且能够适用于本项目的得8分；评审内容任意一项缺项扣3分；评审内容任意一项有缺陷（缺陷是指：内容粗略、逻辑混乱、描述过于简单、与项目特点不匹配、凭空编造、逻辑漏洞、出现常识性错误、套用其他项目方案、存在不可能实现的夸大情形、存在不适用项目实际情况的情形或只有标题没有实质性内容）扣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投标人需要补充的事宜</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确保安全生产的技术组织措施及应急预案</w:t>
            </w:r>
          </w:p>
        </w:tc>
        <w:tc>
          <w:tcPr>
            <w:tcW w:type="dxa" w:w="2492"/>
          </w:tcPr>
          <w:p>
            <w:pPr>
              <w:pStyle w:val="null3"/>
            </w:pPr>
            <w:r>
              <w:rPr>
                <w:rFonts w:ascii="仿宋_GB2312" w:hAnsi="仿宋_GB2312" w:cs="仿宋_GB2312" w:eastAsia="仿宋_GB2312"/>
              </w:rPr>
              <w:t>①确保安全生产的技术组织措施②应急预案 评审标准：以上内容切合本项目实际情况及实施要求，内容与要点相符、每个要点均有展开详细的阐述且能够适用于本项目的得10分；评审内容任意一项缺项扣5分；评审内容任意一项有缺陷（缺陷是指：内容粗略、逻辑混乱、描述过于简单、与项目特点不匹配、凭空编造、逻辑漏洞、出现常识性错误、套用其他项目方案、存在不可能实现的夸大情形、存在不适用项目实际情况的情形或只有标题没有实质性内容）扣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投标人需要补充的事宜</w:t>
            </w:r>
          </w:p>
          <w:p>
            <w:pPr>
              <w:pStyle w:val="null3"/>
            </w:pPr>
            <w:r>
              <w:rPr>
                <w:rFonts w:ascii="仿宋_GB2312" w:hAnsi="仿宋_GB2312" w:cs="仿宋_GB2312" w:eastAsia="仿宋_GB2312"/>
              </w:rPr>
              <w:t>技术规格响应偏离表</w:t>
            </w:r>
          </w:p>
        </w:tc>
      </w:tr>
      <w:tr>
        <w:tc>
          <w:tcPr>
            <w:tcW w:type="dxa" w:w="831"/>
            <w:vMerge/>
          </w:tcPr>
          <w:p/>
        </w:tc>
        <w:tc>
          <w:tcPr>
            <w:tcW w:type="dxa" w:w="1661"/>
          </w:tcPr>
          <w:p>
            <w:pPr>
              <w:pStyle w:val="null3"/>
            </w:pPr>
            <w:r>
              <w:rPr>
                <w:rFonts w:ascii="仿宋_GB2312" w:hAnsi="仿宋_GB2312" w:cs="仿宋_GB2312" w:eastAsia="仿宋_GB2312"/>
              </w:rPr>
              <w:t>安全、文明、环保 、防火等管理及保证措施</w:t>
            </w:r>
          </w:p>
        </w:tc>
        <w:tc>
          <w:tcPr>
            <w:tcW w:type="dxa" w:w="2492"/>
          </w:tcPr>
          <w:p>
            <w:pPr>
              <w:pStyle w:val="null3"/>
            </w:pPr>
            <w:r>
              <w:rPr>
                <w:rFonts w:ascii="仿宋_GB2312" w:hAnsi="仿宋_GB2312" w:cs="仿宋_GB2312" w:eastAsia="仿宋_GB2312"/>
              </w:rPr>
              <w:t>相关措施有力、完善、科学、可行，得 6.0∼10.0 分；相关措施较完善、科学、可行，得 4.0∼6.0分；相关措施不完善、不具体，得 0∼4.0 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投标人需要补充的事宜</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一、评审内容：根据供应商提供的进度计划描述情况进行赋分。 二、评审标准：（1）描述详细、完整，能高质量的满足项目及采购人要求，确保项目质量，得12分；（2）描述较详细、较完整，能满足项目及采购人要求，保证项目质量，得10分；（3）描述相对完整、可行，能基本满足项目及采购人要求，保证项目质量，得8分；（4）描述基本完整、可行，基本保证项目质量，得6分；（5）描述较简单，得4分；（6）描述简略，可行性存在不足，得2分；（7）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投标人需要补充的事宜</w:t>
            </w:r>
          </w:p>
        </w:tc>
      </w:tr>
      <w:tr>
        <w:tc>
          <w:tcPr>
            <w:tcW w:type="dxa" w:w="831"/>
            <w:vMerge/>
          </w:tcPr>
          <w:p/>
        </w:tc>
        <w:tc>
          <w:tcPr>
            <w:tcW w:type="dxa" w:w="1661"/>
          </w:tcPr>
          <w:p>
            <w:pPr>
              <w:pStyle w:val="null3"/>
            </w:pPr>
            <w:r>
              <w:rPr>
                <w:rFonts w:ascii="仿宋_GB2312" w:hAnsi="仿宋_GB2312" w:cs="仿宋_GB2312" w:eastAsia="仿宋_GB2312"/>
              </w:rPr>
              <w:t>质量保证体系与措施</w:t>
            </w:r>
          </w:p>
        </w:tc>
        <w:tc>
          <w:tcPr>
            <w:tcW w:type="dxa" w:w="2492"/>
          </w:tcPr>
          <w:p>
            <w:pPr>
              <w:pStyle w:val="null3"/>
            </w:pPr>
            <w:r>
              <w:rPr>
                <w:rFonts w:ascii="仿宋_GB2312" w:hAnsi="仿宋_GB2312" w:cs="仿宋_GB2312" w:eastAsia="仿宋_GB2312"/>
              </w:rPr>
              <w:t>根据本项目的具体实施内容，做出质量保证，质量保证措施有力、完善、具体，得 6.0∼8.0 分；质量保证措施较完善、具体，得 4.0∼6.0分；质量保证措施不完善、不具体，得 0∼4.0分；未提供不得分。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投标人需要补充的事宜</w:t>
            </w:r>
          </w:p>
        </w:tc>
      </w:tr>
      <w:tr>
        <w:tc>
          <w:tcPr>
            <w:tcW w:type="dxa" w:w="831"/>
            <w:vMerge/>
          </w:tcPr>
          <w:p/>
        </w:tc>
        <w:tc>
          <w:tcPr>
            <w:tcW w:type="dxa" w:w="1661"/>
          </w:tcPr>
          <w:p>
            <w:pPr>
              <w:pStyle w:val="null3"/>
            </w:pPr>
            <w:r>
              <w:rPr>
                <w:rFonts w:ascii="仿宋_GB2312" w:hAnsi="仿宋_GB2312" w:cs="仿宋_GB2312" w:eastAsia="仿宋_GB2312"/>
              </w:rPr>
              <w:t>苗木种植及养护方案</w:t>
            </w:r>
          </w:p>
        </w:tc>
        <w:tc>
          <w:tcPr>
            <w:tcW w:type="dxa" w:w="2492"/>
          </w:tcPr>
          <w:p>
            <w:pPr>
              <w:pStyle w:val="null3"/>
            </w:pPr>
            <w:r>
              <w:rPr>
                <w:rFonts w:ascii="仿宋_GB2312" w:hAnsi="仿宋_GB2312" w:cs="仿宋_GB2312" w:eastAsia="仿宋_GB2312"/>
              </w:rPr>
              <w:t>苗木种植及养护方案全面、详细、科学合理，可实施性强，得6.0∼10.0 分；苗木种植及养护方案较全面、方案基本科学合理，有可实施性，得4.0∼6.0分；苗木种植及养护方案不完整，方案欠合理，可实施性较差，得0∼4.0分；未提供不得分。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投标人需要补充的事宜</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①施工过程中的相关承诺②投入材料质量承诺③质量保修期内的承诺④合理化建议评审标准：以上内容与要点相符、每个要点均有展开详细的阐述且能够适用于本项目的得8分；评审内容任意一项有缺陷（缺陷是指：内容简单、与项目特点不匹配、套用其他项目相关内容或存在不适用项目实际情况的情形）扣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供应商2022年12月以来同类项目业绩；每提供1份计3分，最高得9分。业绩证明（以合同或中标/成交通知书为准，须在磋商响应文件中附以上证明材料的扫描件加盖单位公章）弄虚作假者，取消其成交资格。</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投标人需要补充的事宜</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规格明确，对每项产品参数都进行明确响应，满足文件要求计12分。参数指标有一项负偏离扣1分，扣完为止。备注：1.参数提供充足的佐证材料（包括但不限于检测报告、产品彩页、厂商资质、官网功能截图）若有提供虚假参数及材料应标的，经查实将按照有关法律规定进行严肃处理。 2.配置不详规格型号描述不清，按扣分处理，缺项漏项不得分。 3、供应商提供虚假材料谋取中标、成交的，按照《中华人民共和国政府采购法》第七十七条第一款第一项规定执行。</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投标人需要补充的事宜包2</w:t>
            </w:r>
          </w:p>
          <w:p>
            <w:pPr>
              <w:pStyle w:val="null3"/>
            </w:pPr>
            <w:r>
              <w:rPr>
                <w:rFonts w:ascii="仿宋_GB2312" w:hAnsi="仿宋_GB2312" w:cs="仿宋_GB2312" w:eastAsia="仿宋_GB2312"/>
              </w:rPr>
              <w:t>技术规格响应偏离表包2</w:t>
            </w:r>
          </w:p>
        </w:tc>
      </w:tr>
      <w:tr>
        <w:tc>
          <w:tcPr>
            <w:tcW w:type="dxa" w:w="831"/>
            <w:vMerge/>
          </w:tcPr>
          <w:p/>
        </w:tc>
        <w:tc>
          <w:tcPr>
            <w:tcW w:type="dxa" w:w="1661"/>
          </w:tcPr>
          <w:p>
            <w:pPr>
              <w:pStyle w:val="null3"/>
            </w:pPr>
            <w:r>
              <w:rPr>
                <w:rFonts w:ascii="仿宋_GB2312" w:hAnsi="仿宋_GB2312" w:cs="仿宋_GB2312" w:eastAsia="仿宋_GB2312"/>
              </w:rPr>
              <w:t>培训、售后方案</w:t>
            </w:r>
          </w:p>
        </w:tc>
        <w:tc>
          <w:tcPr>
            <w:tcW w:type="dxa" w:w="2492"/>
          </w:tcPr>
          <w:p>
            <w:pPr>
              <w:pStyle w:val="null3"/>
            </w:pPr>
            <w:r>
              <w:rPr>
                <w:rFonts w:ascii="仿宋_GB2312" w:hAnsi="仿宋_GB2312" w:cs="仿宋_GB2312" w:eastAsia="仿宋_GB2312"/>
              </w:rPr>
              <w:t>供应商针对本项目提出适用于本项目的培训、售后方案，确保使用人员能够独立熟练操作、维护和正常使用，并提供承诺和保障措施。 包含：1、培训人员、时间、培训课程内容安排；2、培训计划实施及效果保证措施；3、售后保障措施；4、承诺质保期内免费更换，上门保修，一切费用由成交供应商承担的承诺；5、响应时间承诺：接到故障通知的响应时间、到达现场排除故障的响应时间，并随时接受使用人员的咨询。以上各项内容全面明确、阐述条理清晰得10分，每项中的内容存在缺陷扣0-2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投标人需要补充的事宜包2</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供应商针对本项目提出适用于本项目的供货方案，包含：1、有明确的项目进度安排计划，能够在承诺的时间内按期交货；2、运输过程保障措施；3、现场成品保护；4、货物验收组织计划。 以上各项内容全面明确、阐述条理清晰得12分，每项中的内容存在缺陷扣0-3分，扣完为止。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投标人需要补充的事宜包2</w:t>
            </w:r>
          </w:p>
        </w:tc>
      </w:tr>
      <w:tr>
        <w:tc>
          <w:tcPr>
            <w:tcW w:type="dxa" w:w="831"/>
            <w:vMerge/>
          </w:tcPr>
          <w:p/>
        </w:tc>
        <w:tc>
          <w:tcPr>
            <w:tcW w:type="dxa" w:w="1661"/>
          </w:tcPr>
          <w:p>
            <w:pPr>
              <w:pStyle w:val="null3"/>
            </w:pPr>
            <w:r>
              <w:rPr>
                <w:rFonts w:ascii="仿宋_GB2312" w:hAnsi="仿宋_GB2312" w:cs="仿宋_GB2312" w:eastAsia="仿宋_GB2312"/>
              </w:rPr>
              <w:t>备品备件供应保障方案</w:t>
            </w:r>
          </w:p>
        </w:tc>
        <w:tc>
          <w:tcPr>
            <w:tcW w:type="dxa" w:w="2492"/>
          </w:tcPr>
          <w:p>
            <w:pPr>
              <w:pStyle w:val="null3"/>
            </w:pPr>
            <w:r>
              <w:rPr>
                <w:rFonts w:ascii="仿宋_GB2312" w:hAnsi="仿宋_GB2312" w:cs="仿宋_GB2312" w:eastAsia="仿宋_GB2312"/>
              </w:rPr>
              <w:t>供应商提供所投产品备品备件供应保障方案，包含：1、提供安装调试及质保期内的产品（或易耗品）备品备件清单明细；2、备品备件供应保障措施。以上各项内容全面明确、阐述条理清晰得8分，每项中的内容存在缺陷扣0-4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投标人需要补充的事宜包2</w:t>
            </w:r>
          </w:p>
        </w:tc>
      </w:tr>
      <w:tr>
        <w:tc>
          <w:tcPr>
            <w:tcW w:type="dxa" w:w="831"/>
            <w:vMerge/>
          </w:tcPr>
          <w:p/>
        </w:tc>
        <w:tc>
          <w:tcPr>
            <w:tcW w:type="dxa" w:w="1661"/>
          </w:tcPr>
          <w:p>
            <w:pPr>
              <w:pStyle w:val="null3"/>
            </w:pPr>
            <w:r>
              <w:rPr>
                <w:rFonts w:ascii="仿宋_GB2312" w:hAnsi="仿宋_GB2312" w:cs="仿宋_GB2312" w:eastAsia="仿宋_GB2312"/>
              </w:rPr>
              <w:t>团队配置</w:t>
            </w:r>
          </w:p>
        </w:tc>
        <w:tc>
          <w:tcPr>
            <w:tcW w:type="dxa" w:w="2492"/>
          </w:tcPr>
          <w:p>
            <w:pPr>
              <w:pStyle w:val="null3"/>
            </w:pPr>
            <w:r>
              <w:rPr>
                <w:rFonts w:ascii="仿宋_GB2312" w:hAnsi="仿宋_GB2312" w:cs="仿宋_GB2312" w:eastAsia="仿宋_GB2312"/>
              </w:rPr>
              <w:t>项目机构人员配备合理，岗位职责明确，能够根据本项目的实际需求提供专业全面的技术人员，有具体的人员明细表。 A.项目机构人员架构清晰、职责明确、安排合理、专业性强的得（6-8]分； B.项目机构人员架构清晰，职责明确，提供的专业人员基本满足本项目的实际需求，分工较合理的得（4-6]分； C.项目机构配备差、专业人员少、不符合项目整体需求，不能使项目正常运作的得（0-4]分； D.其他或未提供不得分。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产品来源渠道及质量保证措施</w:t>
            </w:r>
          </w:p>
        </w:tc>
        <w:tc>
          <w:tcPr>
            <w:tcW w:type="dxa" w:w="2492"/>
          </w:tcPr>
          <w:p>
            <w:pPr>
              <w:pStyle w:val="null3"/>
            </w:pPr>
            <w:r>
              <w:rPr>
                <w:rFonts w:ascii="仿宋_GB2312" w:hAnsi="仿宋_GB2312" w:cs="仿宋_GB2312" w:eastAsia="仿宋_GB2312"/>
              </w:rPr>
              <w:t>供应商所投产品货源渠道正规，质量有保证，便于操作、功能齐全、实用性强。包含：1、供应商提供的所投产品的合法来源渠道(证明文件例如：包含但不限于制造商授权、购销协议、代理协议、购买凭证等)和生产厂家实力等与产品质量相关的证明材料。2、产品性能稳定，具有较好的使用效果，质量保证措施完善。 以上各项内容全面明确、阐述条理清晰得6分，每项中的内容存在缺陷扣0-3分，扣完为止。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投标人需要补充的事宜包2</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供应商针对本项目提供安装调试方案，包含：1、安装调试进度计划；2、安装过程中实施人员安全措施及野外实施安全措施。 以上各项内容全面明确、阐述条理清晰得6分，每项中的内容存在缺陷扣0-3分，扣完为止。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项目实施方案</w:t>
            </w:r>
          </w:p>
          <w:p>
            <w:pPr>
              <w:pStyle w:val="null3"/>
            </w:pPr>
            <w:r>
              <w:rPr>
                <w:rFonts w:ascii="仿宋_GB2312" w:hAnsi="仿宋_GB2312" w:cs="仿宋_GB2312" w:eastAsia="仿宋_GB2312"/>
              </w:rPr>
              <w:t>投标人需要补充的事宜包2</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供应商提供2022年12月至今完成的类似业绩证明，每提供一份计2分，最高计8分；（以合同签订时间为准） 注：业绩须是供应商完成的类似项目，提供成交通知书及协议书（合同）原件或加盖公章的复印件为准。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投标人需要补充的事宜包2</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选配件报价表</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详见附件：投标人需要补充的事宜</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详见附件：技术规格响应偏离表</w:t>
      </w:r>
    </w:p>
    <w:p>
      <w:pPr>
        <w:pStyle w:val="null3"/>
        <w:ind w:firstLine="960"/>
      </w:pPr>
      <w:r>
        <w:rPr>
          <w:rFonts w:ascii="仿宋_GB2312" w:hAnsi="仿宋_GB2312" w:cs="仿宋_GB2312" w:eastAsia="仿宋_GB2312"/>
        </w:rPr>
        <w:t>详见附件：商务条款响应偏离表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详见附件：供应商应提交的相关资格证明材料包2</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详见附件：投标人需要补充的事宜包2</w:t>
      </w:r>
    </w:p>
    <w:p>
      <w:pPr>
        <w:pStyle w:val="null3"/>
        <w:ind w:firstLine="960"/>
      </w:pPr>
      <w:r>
        <w:rPr>
          <w:rFonts w:ascii="仿宋_GB2312" w:hAnsi="仿宋_GB2312" w:cs="仿宋_GB2312" w:eastAsia="仿宋_GB2312"/>
        </w:rPr>
        <w:t>详见附件：技术规格响应偏离表包2</w:t>
      </w:r>
    </w:p>
    <w:p>
      <w:pPr>
        <w:pStyle w:val="null3"/>
        <w:ind w:firstLine="960"/>
      </w:pPr>
      <w:r>
        <w:rPr>
          <w:rFonts w:ascii="仿宋_GB2312" w:hAnsi="仿宋_GB2312" w:cs="仿宋_GB2312" w:eastAsia="仿宋_GB2312"/>
        </w:rPr>
        <w:t>详见附件：商务条款响应偏离表包</w:t>
      </w:r>
    </w:p>
    <w:p>
      <w:pPr>
        <w:pStyle w:val="null3"/>
        <w:ind w:firstLine="960"/>
      </w:pPr>
      <w:r>
        <w:rPr>
          <w:rFonts w:ascii="仿宋_GB2312" w:hAnsi="仿宋_GB2312" w:cs="仿宋_GB2312" w:eastAsia="仿宋_GB2312"/>
        </w:rPr>
        <w:t>详见附件：选配件报价表</w:t>
      </w:r>
    </w:p>
    <w:p>
      <w:pPr>
        <w:pStyle w:val="null3"/>
        <w:ind w:firstLine="960"/>
      </w:pPr>
      <w:r>
        <w:rPr>
          <w:rFonts w:ascii="仿宋_GB2312" w:hAnsi="仿宋_GB2312" w:cs="仿宋_GB2312" w:eastAsia="仿宋_GB2312"/>
        </w:rPr>
        <w:t>详见附件：分项报价表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