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4"/>
        <w:gridCol w:w="975"/>
        <w:gridCol w:w="5810"/>
        <w:gridCol w:w="593"/>
        <w:gridCol w:w="600"/>
      </w:tblGrid>
      <w:tr w14:paraId="694DD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4D7DA1">
            <w:pPr>
              <w:keepNext w:val="0"/>
              <w:keepLines w:val="0"/>
              <w:widowControl/>
              <w:suppressLineNumbers w:val="0"/>
              <w:jc w:val="center"/>
              <w:textAlignment w:val="center"/>
              <w:rPr>
                <w:rFonts w:hint="default" w:ascii="宋体" w:hAnsi="宋体" w:eastAsia="宋体" w:cs="宋体"/>
                <w:b/>
                <w:bCs/>
                <w:i w:val="0"/>
                <w:iCs w:val="0"/>
                <w:color w:val="000000"/>
                <w:sz w:val="28"/>
                <w:szCs w:val="28"/>
                <w:u w:val="none"/>
                <w:lang w:val="en-US" w:eastAsia="zh-CN"/>
              </w:rPr>
            </w:pPr>
            <w:r>
              <w:rPr>
                <w:rFonts w:hint="eastAsia" w:ascii="宋体" w:hAnsi="宋体" w:eastAsia="宋体" w:cs="宋体"/>
                <w:b/>
                <w:bCs/>
                <w:i w:val="0"/>
                <w:iCs w:val="0"/>
                <w:color w:val="000000"/>
                <w:sz w:val="28"/>
                <w:szCs w:val="28"/>
                <w:u w:val="none"/>
                <w:lang w:val="en-US" w:eastAsia="zh-CN"/>
              </w:rPr>
              <w:t>三原县2025年省级黄河流域生态保护和高质量发展专项资金清峪河国家湿地公园保护治理项目</w:t>
            </w:r>
            <w:bookmarkStart w:id="0" w:name="_GoBack"/>
            <w:r>
              <w:rPr>
                <w:rFonts w:hint="eastAsia" w:ascii="宋体" w:hAnsi="宋体" w:eastAsia="宋体" w:cs="宋体"/>
                <w:b/>
                <w:bCs/>
                <w:i w:val="0"/>
                <w:iCs w:val="0"/>
                <w:color w:val="000000"/>
                <w:sz w:val="28"/>
                <w:szCs w:val="28"/>
                <w:u w:val="none"/>
                <w:lang w:val="en-US" w:eastAsia="zh-CN"/>
              </w:rPr>
              <w:t>包2</w:t>
            </w:r>
            <w:bookmarkEnd w:id="0"/>
          </w:p>
        </w:tc>
      </w:tr>
      <w:tr w14:paraId="61429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575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081B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w:t>
            </w:r>
          </w:p>
          <w:p w14:paraId="71A828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F8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功能参数</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DC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ADF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14:paraId="07E64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2BA02"/>
            <w:vAlign w:val="center"/>
          </w:tcPr>
          <w:p w14:paraId="518538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1、新增湿地监测点</w:t>
            </w:r>
          </w:p>
        </w:tc>
      </w:tr>
      <w:tr w14:paraId="6BC04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289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18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网络红外球机</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30B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1、分辨力不小于1400线（分辨率设置为2560×1440，帧率设置为25fps、码率设置为6Mbps、RJ45输出），红外作用距离：可识别距设备400m的人体轮廓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2、光学变倍大于23倍，最大焦距113.2mm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3、支持区域入侵侦测，越界侦测，进入区域侦测和离开区域侦测等智能侦测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4、内置加热玻璃，有效除雾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5、最低照度：彩色≤0.0005Lux，黑白模式≤0.0001Lux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6、支持三码流技术，每路码流可独立配置分辨率及帧率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7、支持3D数字降噪，支持真宽动态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8、支持定时抓图与事件抓图功能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9、支持定时任务，一键守望，一键巡航功能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10、开放型网络视频接口，ISAPI，GB/T28181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11、支持一进一出报警，一进一出音频，支持不低于512 GB MicroSD卡存储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12、防护等级不低于IP66，抗干扰能力强，适用于严酷的电磁环境，符合GB/T17626.2/3/4/5/6四级标准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13、支持4G（移动、联通、电信）网络传输。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14、可对镜头前盖玻璃进行加热，去除玻璃上的冰状和水状附着物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15、应具有1024个预置位，设备可按照所设置的预置位完成64条巡航路径，可按照所设置轨迹完成40条模式路径；在控制云镜时，可实现RS485接口优先或RJ45网络接口优先控制功能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16、设备具有≥1个SIM卡插槽。</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458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097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2F350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6"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1BD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CF3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闪存卡</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0EC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擦写次数≥3000次,容量≥128GB 读≥90MB/s，写≥45MB/s；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工作温度：-25 ℃～85 ℃存储温度：-40 ℃～85 ℃。</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2F3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C2B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12D26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2"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B67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90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支架</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E61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压铸纯铝合金材质，表面做喷塑处理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材质：铝合金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尺寸≥Φ67-127mm</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B9D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0F3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62E76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8"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087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AA6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立杆</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228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钢管焊制，坚固耐用，采用螺旋丝固定设计，增加整体稳定性和牢固性，可抗台风二十级，高度按照实际定制、立杆基础。</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306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A12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45873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8E8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24F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抱杆箱</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B62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防雨通风口专用抱杆箱,金属开启钥匙,不锈钢箱体,≥300mm宽*400mm高*180mm深。</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468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8D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77D21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2"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0F3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8A9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太阳能板</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5AA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1、组件由50多片晶体硅太阳电池串联组成；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2、阳极氧化铝合金边框构成方形结构，允许单个使用或阵列使用；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3、配有标准支架系统安装孔；</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4、防尘接线盒，保证接线安全可靠；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5、银白色铝合金边框、高透光率钢化玻璃、白色TPT衬底；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6、电池正常工作温度：48ºC±2ºC；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7、峰值功率（Wp）：200W±3%；</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8、短路电流温度系数：%/K 0.06±0.01；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9、开路电压（Voc）：≥21.5V 开路电压温度系数：mV/K -(78±10)；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10、最大功率电压（Vmp）：≤36V；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11、填充因子：≥70％；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12、短路电流（Isc）：5.45A；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13、边框接地电阻：≤1ohm；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14、最大功率电流（Imp）：5.0A；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15、迎风压强：≥2400Pa；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16、绝缘电压：≥1000V；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17、外型尺寸：≥1450×670×30mm。</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D3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64E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5C12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7"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90D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A68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太阳能支架</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74D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一拖二烤漆角铁防锈支架，专业一拖二设计。</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D24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F97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3B552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4"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B12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B72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蓄电池</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BE6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1、≥12V150AH；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2、产品设计寿命≥8年；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3、防水引线输出，可直接埋入地下；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4、比能量高 内阻小 自放电率低；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5、密封反应效率高；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6、非饱和容量下循环性能好；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7、特殊的耐腐蚀合金 提高电池寿命；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8、高纯度电解液和特殊的添加剂 电池不易失水；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9、高强度的电池壳 耐冲击 抗震性能好；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10、多层密封结构 确保电池不漏液 不爬酸 安全可靠；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11、防水引线端子；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12、专利安全阀特殊设计 可防止电池鼓壳 爆裂。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13、含地埋箱。</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30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3BF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7519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8F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A53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控制器</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90A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1、电池类型 胶体电池；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2、系统电压 12V/24V/48V Auto；</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3、系统电流 60A；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4、空载损耗 ≤100mw；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5、最大输入功率 1500W；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6、光伏输入电压 12/24V小于55V，48V小于90V；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7、过压保护电压 ≥32V；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8、过压返回电压 ≥28.8V；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9、浮充电压 ≥27.6V；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10、提升冲电压 ≥28.8V；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11、均衡充电压 ≥29.4V；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12、（25℃），维持时间：2 小时；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13、过放保护 ≥21.6V；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14、过放恢复电压 ≥25.0V；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15、温度补偿 ≥-4.0mv/℃/2V；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16、光控判断时间 ≤1min；</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17、过载、短路保护 ≥1.25 倍额定电流3分钟内自动恢复；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18、≥2倍额定电流，短路保护，不能自动恢复，需手动检查后恢复。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19、含控制箱。</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A27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C02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19552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7"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BD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1C709">
            <w:pPr>
              <w:keepNext w:val="0"/>
              <w:keepLines w:val="0"/>
              <w:widowControl/>
              <w:suppressLineNumbers w:val="0"/>
              <w:jc w:val="center"/>
              <w:textAlignment w:val="center"/>
              <w:rPr>
                <w:rFonts w:hint="eastAsia" w:ascii="宋体" w:hAnsi="宋体" w:eastAsia="宋体" w:cs="宋体"/>
                <w:i w:val="0"/>
                <w:iCs w:val="0"/>
                <w:color w:val="0000FF"/>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流量卡</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EAA61">
            <w:pPr>
              <w:keepNext w:val="0"/>
              <w:keepLines w:val="0"/>
              <w:widowControl/>
              <w:suppressLineNumbers w:val="0"/>
              <w:jc w:val="left"/>
              <w:textAlignment w:val="center"/>
              <w:rPr>
                <w:rFonts w:hint="eastAsia" w:ascii="宋体" w:hAnsi="宋体" w:eastAsia="宋体" w:cs="宋体"/>
                <w:i w:val="0"/>
                <w:iCs w:val="0"/>
                <w:color w:val="0000FF"/>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4G流量卡。</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254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74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r>
      <w:tr w14:paraId="190CD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89342">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11</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CA80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网络</w:t>
            </w:r>
          </w:p>
          <w:p w14:paraId="628898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传输</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05E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≥50m专线，固定IP。</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6E3E5">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项</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E1C4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w:t>
            </w:r>
          </w:p>
        </w:tc>
      </w:tr>
      <w:tr w14:paraId="6B77D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B4C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590D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安装</w:t>
            </w:r>
          </w:p>
          <w:p w14:paraId="76474F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93D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野外安装调试、超5类非屏蔽双绞线、电源线、信号线、线槽、线管、固定卡口及地笼、混凝土等。</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977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C64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6B48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1F8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243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施工费</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58A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运输装卸、机械、野外施工等。</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18D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D4C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A2C1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2BA02"/>
            <w:vAlign w:val="center"/>
          </w:tcPr>
          <w:p w14:paraId="06D673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2、改造湿地监测点</w:t>
            </w:r>
          </w:p>
        </w:tc>
      </w:tr>
      <w:tr w14:paraId="07257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1"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4A2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E66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利旧前端平台集成</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294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完成清河公园内监控无缝接入到林业站指挥中心监控平台。</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C5C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E22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r>
      <w:tr w14:paraId="0EB1D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4"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61B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8B23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对接存储终端</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66ED4">
            <w:pPr>
              <w:keepNext w:val="0"/>
              <w:keepLines w:val="0"/>
              <w:widowControl/>
              <w:numPr>
                <w:ilvl w:val="0"/>
                <w:numId w:val="1"/>
              </w:numPr>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嵌入式网络硬盘录像机，具有≥3个SATA接口，可满配20TB硬盘</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2、视频接口≥1×HDMI，1×VGA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3、网络接口≥2×RJ45 10/100/1000Mbps自适应以太网口</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4、报警接口≥4路报警输入，1路报警输出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5、USB接口≥1×USB 2.0，1×USB 3.0</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6、输入带宽≥256Mbps，输出带宽≥256Mbps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7、接入能力≥16路H.264、H.265格式高清码流接入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8、解码能力：最大支持32×1080P，支持4K输出</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473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EA3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F52C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556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287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硬盘</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60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1、监控级硬盘≥10TB容量，3.5英寸，SATA3.0接口，≥5400RPM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2、传输速率≥180MB/s，缓存≥256MB，读取速度≥180MB/s，接口传输速率≥6.0Gb/s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3、MTBF≥1,000,000</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59B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3D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47F95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910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AB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网络</w:t>
            </w:r>
          </w:p>
          <w:p w14:paraId="11924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传输</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BE6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≥50m专线，固定IP。</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2F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eastAsia="zh-CN"/>
              </w:rPr>
              <w:t>项</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EC3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EB72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2BA02"/>
            <w:vAlign w:val="center"/>
          </w:tcPr>
          <w:p w14:paraId="7FC0E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3、宣传保护教育</w:t>
            </w:r>
          </w:p>
        </w:tc>
      </w:tr>
      <w:tr w14:paraId="722E0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842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6F8C9">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宣传牌</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ED69">
            <w:pPr>
              <w:keepNext w:val="0"/>
              <w:keepLines w:val="0"/>
              <w:widowControl/>
              <w:numPr>
                <w:ilvl w:val="0"/>
                <w:numId w:val="2"/>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像素点间距：≤8.0mm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2、单元板分辨率：≥800 Dots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3、刷新率：≥3840Hz，支持通过配套控制软件调节刷新率设置选项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4、封装方式：SMD表贴三合一，铜线封装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5、整屏平整度≤0.05mm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6、白平衡亮度：0-6000cd/㎡可调，亮度调节：0-100%亮度可调，256级手动/自动调节，屏幕亮度具有随环境照度的变化任意调整功能，亮度均匀性≥98%</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7、色温800K-18000K可调；白平衡状态下色温在6500K±5%；色温为6500K时，100%75%50%25%档电平白场调节色温误差≤100K</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8、水平视角≥170°；垂直视角≥170°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9、对比度≥9000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10、灰度等级≥14bit，红绿蓝各256级，可达16384级，采用EPWM 灰阶控制技术提升低灰视觉效果，100%亮度时，14bit灰度；70%亮度，14bit灰度；50%亮度，14bit灰度；20%亮度，12bit灰度，显示画面无单列或单行像素失控现象；支持0-100%亮度时，8-14bits灰度自定义设置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11、峰值功耗≤550W/m²；平均功耗≤150W/m²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12、具备防蓝光护眼功能，蓝光辐射能量≤20%。蓝光辐射能量值对人眼视网膜无伤害，LED显示屏蓝光辐亮度≤0.5W.m-2.sr-1,符合肉眼观看标准。</w:t>
            </w:r>
          </w:p>
          <w:p w14:paraId="2A9021FF">
            <w:pPr>
              <w:keepNext w:val="0"/>
              <w:keepLines w:val="0"/>
              <w:widowControl/>
              <w:numPr>
                <w:ilvl w:val="0"/>
                <w:numId w:val="3"/>
              </w:numPr>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highlight w:val="none"/>
                <w:u w:val="none"/>
                <w:lang w:val="en-US" w:eastAsia="zh-CN" w:bidi="ar"/>
              </w:rPr>
              <w:t>每套屏面积：≥2.14㎡。</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832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3A6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26704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4"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27E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BB6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接收卡</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F5A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 集成HUB75，无需再配转接板，更方便，成本更低；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 减少接插连接件，减少故障点，故障率更低；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 支持常规芯片实现高刷新、高灰度、高亮度；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 可消除单元板设计引起的某行偏暗、低灰偏红、鬼影等细节问题；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 支持14bit精度的色度、亮度一体化逐点校正；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 支持所有常规芯片、PWM芯片和灯饰芯片；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 支持静态屏、1/2~1/64扫之间的任意扫描类型；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 支持任意抽点，支持数据偏移，可轻松实现各种异型屏、球形屏、创意显示屏；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 单卡支持16组RGB信号输出；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 支持超大带载面积，单卡带载128*512，256*256；</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 支持DC 3.8V~5.5V超宽工作电压，有效减弱电压波动带来的影响；</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C7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8CF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1BE9E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3"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A77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A6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播放盒</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C0C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1、支持最大65万像素带载能力，最宽4096像素，最高3840像素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2、支持云分级管理和多角色节目发布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3、支持云监测报警并自动联动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4、处理性能强大，支持H.265 4K高清视频硬解码播放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32GB容量（可用25GB）</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5、多种播放方式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支持U盘即插即播，U盘更新播放节目列表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支持多屏同步播放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支持定时指令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6、窗口和素材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支持多节目页播放，最多32个节目页面数量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支持丰富的媒体素材，如图片、视频、文本、时钟等等，支持视频、图片缩放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支持多窗口播放和叠加，可自由设定窗口大小和位置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最多同时播放2个高清窗口或者1个4K视频播放窗口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7、全方位控制方案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支持多种控制平台的控制，手机、平板电脑APP控制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支持多种不同应用软件进行管理，方便不同应用场合</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1F3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F28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61EB0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9"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ED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424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宣传牌其他费用</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2BF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1、支撑柱为双立柱，离地距离≥1.5米；埋深≥0.5米；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2、需包含地基基础开挖并预埋；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3、需包含大屏接电费用；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4、需包含大屏安装调试费用。</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2BA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32D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16E55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CCA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875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警示牌及其他费用</w:t>
            </w:r>
          </w:p>
        </w:tc>
        <w:tc>
          <w:tcPr>
            <w:tcW w:w="3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89A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1、采用≥75镀锌圆管卡扣安装；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2、警示牌镀锌钢板底板，高0.8米、宽1米；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3、距地面≥1.5米，埋深≥0.5米。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4、需包含警示牌开挖、回填、安装费用。</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AE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D0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r>
    </w:tbl>
    <w:p w14:paraId="61608E25"/>
    <w:p w14:paraId="60D5C8CA"/>
    <w:p w14:paraId="2AD9D07B"/>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7F232"/>
    <w:multiLevelType w:val="singleLevel"/>
    <w:tmpl w:val="84C7F232"/>
    <w:lvl w:ilvl="0" w:tentative="0">
      <w:start w:val="1"/>
      <w:numFmt w:val="decimal"/>
      <w:suff w:val="nothing"/>
      <w:lvlText w:val="%1、"/>
      <w:lvlJc w:val="left"/>
    </w:lvl>
  </w:abstractNum>
  <w:abstractNum w:abstractNumId="1">
    <w:nsid w:val="5BA18284"/>
    <w:multiLevelType w:val="singleLevel"/>
    <w:tmpl w:val="5BA18284"/>
    <w:lvl w:ilvl="0" w:tentative="0">
      <w:start w:val="1"/>
      <w:numFmt w:val="decimal"/>
      <w:suff w:val="nothing"/>
      <w:lvlText w:val="%1、"/>
      <w:lvlJc w:val="left"/>
    </w:lvl>
  </w:abstractNum>
  <w:abstractNum w:abstractNumId="2">
    <w:nsid w:val="5E1E3D71"/>
    <w:multiLevelType w:val="singleLevel"/>
    <w:tmpl w:val="5E1E3D71"/>
    <w:lvl w:ilvl="0" w:tentative="0">
      <w:start w:val="1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A365B"/>
    <w:rsid w:val="001F185F"/>
    <w:rsid w:val="06C12E9F"/>
    <w:rsid w:val="0D2E66E3"/>
    <w:rsid w:val="10C8505F"/>
    <w:rsid w:val="12EB3CF0"/>
    <w:rsid w:val="1E193E07"/>
    <w:rsid w:val="1F8B2AE2"/>
    <w:rsid w:val="20A36F2F"/>
    <w:rsid w:val="231A365B"/>
    <w:rsid w:val="24E12CE7"/>
    <w:rsid w:val="2E8F66E4"/>
    <w:rsid w:val="3E6E54AF"/>
    <w:rsid w:val="421A7FB9"/>
    <w:rsid w:val="432A5FEB"/>
    <w:rsid w:val="44754C29"/>
    <w:rsid w:val="44C85ABB"/>
    <w:rsid w:val="45D22E1F"/>
    <w:rsid w:val="4FAE58AE"/>
    <w:rsid w:val="58694A68"/>
    <w:rsid w:val="6502427A"/>
    <w:rsid w:val="66FB1138"/>
    <w:rsid w:val="69142C49"/>
    <w:rsid w:val="699D27C3"/>
    <w:rsid w:val="6CBA58D8"/>
    <w:rsid w:val="799913C7"/>
    <w:rsid w:val="7CEC3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3140</Words>
  <Characters>3867</Characters>
  <Lines>0</Lines>
  <Paragraphs>0</Paragraphs>
  <TotalTime>8</TotalTime>
  <ScaleCrop>false</ScaleCrop>
  <LinksUpToDate>false</LinksUpToDate>
  <CharactersWithSpaces>3926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2025-10-13T10:56:00Z</dcterms:created>
  <dc:creator>任力</dc:creator>
  <cp:lastModifiedBy>L</cp:lastModifiedBy>
  <dcterms:modified xsi:type="dcterms:W3CDTF">2025-12-14T08:46:53Z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363DA0078E8B43F791C42A8D9D8D8AD8_11</vt:lpwstr>
  </property>
  <property fmtid="{D5CDD505-2E9C-101B-9397-08002B2CF9AE}" pid="4" name="KSOTemplateDocerSaveRecord">
    <vt:lpwstr>eyJoZGlkIjoiN2EzMWZjNzVlOWJmOWNkOTlhNDQzODgzY2ZjZmZlMzgiLCJ1c2VySWQiOiI0MjU0MjU1NTYifQ==</vt:lpwstr>
  </property>
</Properties>
</file>