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版本号：ZZDY-2025-02720251217001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购置尾菜处理设备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ZZDY-2025-027</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购置尾菜处理设备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ZZDY-2025-027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购置尾菜处理设备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购置尾菜处理设备一套，通过机械化作业替代人工作业，对城区及各镇办产生的尾菜进行规范化处理，进一步改善我县空气质量，统筹推进臭氧防治与扬尘管控工作，提升大气污染管控质效，推动区域大气污染治理取得更大成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1、营业执照及主体资格：供应商为合法注册的法人、其他组织或自然人，具有独立承担民事责任的能力，提供具有统一社会信用代码证的营业执照（或事业法人证），供应商为自然人的提供身份证；</w:t>
      </w:r>
    </w:p>
    <w:p>
      <w:pPr>
        <w:pStyle w:val="null3"/>
      </w:pPr>
      <w:r>
        <w:rPr>
          <w:rFonts w:ascii="仿宋_GB2312" w:hAnsi="仿宋_GB2312" w:cs="仿宋_GB2312" w:eastAsia="仿宋_GB2312"/>
        </w:rPr>
        <w:t>2、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税收缴纳证明：提供递交响应文件截止之日前六个月内任意一个月的纳税证明或完税证明，纳税证明或完税证明上应有代收机构或税务机关的公章或业务专用章；其他组织提供递交响应文件截止之日前六个月内任意一个月缴纳税收的凭据；依法免税的投标单位应提供相关文件证明；</w:t>
      </w:r>
    </w:p>
    <w:p>
      <w:pPr>
        <w:pStyle w:val="null3"/>
      </w:pPr>
      <w:r>
        <w:rPr>
          <w:rFonts w:ascii="仿宋_GB2312" w:hAnsi="仿宋_GB2312" w:cs="仿宋_GB2312" w:eastAsia="仿宋_GB2312"/>
        </w:rPr>
        <w:t>4、社会保障资金缴纳证明：提供递交响应文件截止时间前六个月内任意一个月已缴纳的社会保障资金的凭据（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5、财务状况报告：提供会计师事务所出具的完整的2023年度或2024年度审计报告（成立时间至提交响应文件截止时间不足一年的可提供成立后任意时段的资产负债表），或提交响应文件截止时间前六个月内银行出具的资信证明（以上形式的资料提供任何一种即可）；其他组织提供银行出具的资信证明或财务报表；</w:t>
      </w:r>
    </w:p>
    <w:p>
      <w:pPr>
        <w:pStyle w:val="null3"/>
      </w:pPr>
      <w:r>
        <w:rPr>
          <w:rFonts w:ascii="仿宋_GB2312" w:hAnsi="仿宋_GB2312" w:cs="仿宋_GB2312" w:eastAsia="仿宋_GB2312"/>
        </w:rPr>
        <w:t>6、书面声明：1)、参加政府采购活动前三年内在经营活动中没有重大违法记录的书面声明； 2)、具有履行本合同所必需的设备和专业技术能力的书面声明；</w:t>
      </w:r>
    </w:p>
    <w:p>
      <w:pPr>
        <w:pStyle w:val="null3"/>
      </w:pPr>
      <w:r>
        <w:rPr>
          <w:rFonts w:ascii="仿宋_GB2312" w:hAnsi="仿宋_GB2312" w:cs="仿宋_GB2312" w:eastAsia="仿宋_GB2312"/>
        </w:rPr>
        <w:t>7、信用状况：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三原县城乡管理执法局经办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18092467441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 规定按标准下浮10%，若按照标准收取不足6000元，按6000元计取。由中标/成交供应商在领取中标/成交通知书前向采购代理机构一次性支付。 成交供应商服务费交纳信息： 银行户名：陕西中正鼎裕项目管理有限公司 开户行名称：兴业银行股份有限公司西安分行营业部 账 号：456010100100956535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陕西中正鼎裕项目管理有限公司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由采购人负责实施验收工作，验收依据为合同、磋商文件、响应文件、相关澄清文件及国家现行相应标准规范。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三原县城乡管理执法局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联系电话：18092467441</w:t>
      </w:r>
    </w:p>
    <w:p>
      <w:pPr>
        <w:pStyle w:val="null3"/>
      </w:pPr>
      <w:r>
        <w:rPr>
          <w:rFonts w:ascii="仿宋_GB2312" w:hAnsi="仿宋_GB2312" w:cs="仿宋_GB2312" w:eastAsia="仿宋_GB2312"/>
        </w:rPr>
        <w:t>地址：西安市科技路48号创业广场B座1506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本项目拟购置尾菜处理设备一套，通过机械化作业替代人工作业，对城区及各镇办产生的尾菜进行规范化处理，进一步改善我县空气质量，统筹推进臭氧防治与扬尘管控工作，提升大气污染管控质效，推动区域大气污染治理取得更大成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购置尾菜处理设备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标的名称：购置尾菜处理设备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一、粉碎机</w:t>
            </w:r>
          </w:p>
          <w:p>
            <w:pPr>
              <w:pStyle w:val="null3"/>
            </w:pPr>
            <w:r>
              <w:rPr>
                <w:rFonts w:ascii="仿宋_GB2312" w:hAnsi="仿宋_GB2312" w:cs="仿宋_GB2312" w:eastAsia="仿宋_GB2312"/>
              </w:rPr>
              <w:t>1、尺寸：≥1950*2000*1800</w:t>
            </w:r>
          </w:p>
          <w:p>
            <w:pPr>
              <w:pStyle w:val="null3"/>
            </w:pPr>
            <w:r>
              <w:rPr>
                <w:rFonts w:ascii="仿宋_GB2312" w:hAnsi="仿宋_GB2312" w:cs="仿宋_GB2312" w:eastAsia="仿宋_GB2312"/>
              </w:rPr>
              <w:t>▲2、电机功率：≥37kw</w:t>
            </w:r>
          </w:p>
          <w:p>
            <w:pPr>
              <w:pStyle w:val="null3"/>
            </w:pPr>
            <w:r>
              <w:rPr>
                <w:rFonts w:ascii="仿宋_GB2312" w:hAnsi="仿宋_GB2312" w:cs="仿宋_GB2312" w:eastAsia="仿宋_GB2312"/>
              </w:rPr>
              <w:t>3、粉碎直径（粉碎箱体）:1200-1500mm</w:t>
            </w:r>
          </w:p>
          <w:p>
            <w:pPr>
              <w:pStyle w:val="null3"/>
            </w:pPr>
            <w:r>
              <w:rPr>
                <w:rFonts w:ascii="仿宋_GB2312" w:hAnsi="仿宋_GB2312" w:cs="仿宋_GB2312" w:eastAsia="仿宋_GB2312"/>
              </w:rPr>
              <w:t>4、设备材质：碳钢</w:t>
            </w:r>
          </w:p>
          <w:p>
            <w:pPr>
              <w:pStyle w:val="null3"/>
            </w:pPr>
            <w:r>
              <w:rPr>
                <w:rFonts w:ascii="仿宋_GB2312" w:hAnsi="仿宋_GB2312" w:cs="仿宋_GB2312" w:eastAsia="仿宋_GB2312"/>
              </w:rPr>
              <w:t>5、生产能力：10-15（T/h）</w:t>
            </w:r>
          </w:p>
          <w:p>
            <w:pPr>
              <w:pStyle w:val="null3"/>
            </w:pPr>
            <w:r>
              <w:rPr>
                <w:rFonts w:ascii="仿宋_GB2312" w:hAnsi="仿宋_GB2312" w:cs="仿宋_GB2312" w:eastAsia="仿宋_GB2312"/>
              </w:rPr>
              <w:t>6、刀片材质：专用耐磨刀具钢</w:t>
            </w:r>
          </w:p>
          <w:p>
            <w:pPr>
              <w:pStyle w:val="null3"/>
            </w:pPr>
            <w:r>
              <w:rPr>
                <w:rFonts w:ascii="仿宋_GB2312" w:hAnsi="仿宋_GB2312" w:cs="仿宋_GB2312" w:eastAsia="仿宋_GB2312"/>
              </w:rPr>
              <w:t>7、粉碎颗粒度：2mm-15mm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二、皮带输送机1</w:t>
            </w:r>
          </w:p>
          <w:p>
            <w:pPr>
              <w:pStyle w:val="null3"/>
            </w:pPr>
            <w:r>
              <w:rPr>
                <w:rFonts w:ascii="仿宋_GB2312" w:hAnsi="仿宋_GB2312" w:cs="仿宋_GB2312" w:eastAsia="仿宋_GB2312"/>
              </w:rPr>
              <w:t>▲1、电机功率：4-7.5KW</w:t>
            </w:r>
          </w:p>
          <w:p>
            <w:pPr>
              <w:pStyle w:val="null3"/>
            </w:pPr>
            <w:r>
              <w:rPr>
                <w:rFonts w:ascii="仿宋_GB2312" w:hAnsi="仿宋_GB2312" w:cs="仿宋_GB2312" w:eastAsia="仿宋_GB2312"/>
              </w:rPr>
              <w:t>2、皮带宽度：≥800mm</w:t>
            </w:r>
          </w:p>
          <w:p>
            <w:pPr>
              <w:pStyle w:val="null3"/>
            </w:pPr>
            <w:r>
              <w:rPr>
                <w:rFonts w:ascii="仿宋_GB2312" w:hAnsi="仿宋_GB2312" w:cs="仿宋_GB2312" w:eastAsia="仿宋_GB2312"/>
              </w:rPr>
              <w:t>3、生产能力：10-15T/h</w:t>
            </w:r>
          </w:p>
          <w:p>
            <w:pPr>
              <w:pStyle w:val="null3"/>
            </w:pPr>
            <w:r>
              <w:rPr>
                <w:rFonts w:ascii="仿宋_GB2312" w:hAnsi="仿宋_GB2312" w:cs="仿宋_GB2312" w:eastAsia="仿宋_GB2312"/>
              </w:rPr>
              <w:t>4、皮带材质，橡胶材质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三、皮带输送机2</w:t>
            </w:r>
          </w:p>
          <w:p>
            <w:pPr>
              <w:pStyle w:val="null3"/>
            </w:pPr>
            <w:r>
              <w:rPr>
                <w:rFonts w:ascii="仿宋_GB2312" w:hAnsi="仿宋_GB2312" w:cs="仿宋_GB2312" w:eastAsia="仿宋_GB2312"/>
              </w:rPr>
              <w:t>▲1、电机功率：≥2.2KW</w:t>
            </w:r>
          </w:p>
          <w:p>
            <w:pPr>
              <w:pStyle w:val="null3"/>
            </w:pPr>
            <w:r>
              <w:rPr>
                <w:rFonts w:ascii="仿宋_GB2312" w:hAnsi="仿宋_GB2312" w:cs="仿宋_GB2312" w:eastAsia="仿宋_GB2312"/>
              </w:rPr>
              <w:t>2、皮带宽度：≥800mm</w:t>
            </w:r>
          </w:p>
          <w:p>
            <w:pPr>
              <w:pStyle w:val="null3"/>
            </w:pPr>
            <w:r>
              <w:rPr>
                <w:rFonts w:ascii="仿宋_GB2312" w:hAnsi="仿宋_GB2312" w:cs="仿宋_GB2312" w:eastAsia="仿宋_GB2312"/>
              </w:rPr>
              <w:t>3、生产能力：8-15T/h</w:t>
            </w:r>
          </w:p>
          <w:p>
            <w:pPr>
              <w:pStyle w:val="null3"/>
            </w:pPr>
            <w:r>
              <w:rPr>
                <w:rFonts w:ascii="仿宋_GB2312" w:hAnsi="仿宋_GB2312" w:cs="仿宋_GB2312" w:eastAsia="仿宋_GB2312"/>
              </w:rPr>
              <w:t>4、皮带材质，橡胶材质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四、单螺旋压榨机</w:t>
            </w:r>
          </w:p>
          <w:p>
            <w:pPr>
              <w:pStyle w:val="null3"/>
            </w:pPr>
            <w:r>
              <w:rPr>
                <w:rFonts w:ascii="仿宋_GB2312" w:hAnsi="仿宋_GB2312" w:cs="仿宋_GB2312" w:eastAsia="仿宋_GB2312"/>
              </w:rPr>
              <w:t>1、外形尺寸：≥4500mm*800mm*1700mm</w:t>
            </w:r>
          </w:p>
          <w:p>
            <w:pPr>
              <w:pStyle w:val="null3"/>
            </w:pPr>
            <w:r>
              <w:rPr>
                <w:rFonts w:ascii="仿宋_GB2312" w:hAnsi="仿宋_GB2312" w:cs="仿宋_GB2312" w:eastAsia="仿宋_GB2312"/>
              </w:rPr>
              <w:t>2、电机功率：≥22KW</w:t>
            </w:r>
          </w:p>
          <w:p>
            <w:pPr>
              <w:pStyle w:val="null3"/>
            </w:pPr>
            <w:r>
              <w:rPr>
                <w:rFonts w:ascii="仿宋_GB2312" w:hAnsi="仿宋_GB2312" w:cs="仿宋_GB2312" w:eastAsia="仿宋_GB2312"/>
              </w:rPr>
              <w:t>3、滤网材质：与物料接触部位为304不锈钢</w:t>
            </w:r>
          </w:p>
          <w:p>
            <w:pPr>
              <w:pStyle w:val="null3"/>
            </w:pPr>
            <w:r>
              <w:rPr>
                <w:rFonts w:ascii="仿宋_GB2312" w:hAnsi="仿宋_GB2312" w:cs="仿宋_GB2312" w:eastAsia="仿宋_GB2312"/>
              </w:rPr>
              <w:t>4、筛网直径：≥1mm</w:t>
            </w:r>
          </w:p>
          <w:p>
            <w:pPr>
              <w:pStyle w:val="null3"/>
            </w:pPr>
            <w:r>
              <w:rPr>
                <w:rFonts w:ascii="仿宋_GB2312" w:hAnsi="仿宋_GB2312" w:cs="仿宋_GB2312" w:eastAsia="仿宋_GB2312"/>
              </w:rPr>
              <w:t>★5、生产能力：10-15T/h</w:t>
            </w:r>
          </w:p>
          <w:p>
            <w:pPr>
              <w:pStyle w:val="null3"/>
            </w:pPr>
            <w:r>
              <w:rPr>
                <w:rFonts w:ascii="仿宋_GB2312" w:hAnsi="仿宋_GB2312" w:cs="仿宋_GB2312" w:eastAsia="仿宋_GB2312"/>
              </w:rPr>
              <w:t>6、设备重量：≥3500Kg</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五、电气系统</w:t>
            </w:r>
          </w:p>
          <w:p>
            <w:pPr>
              <w:pStyle w:val="null3"/>
            </w:pPr>
            <w:r>
              <w:rPr>
                <w:rFonts w:ascii="仿宋_GB2312" w:hAnsi="仿宋_GB2312" w:cs="仿宋_GB2312" w:eastAsia="仿宋_GB2312"/>
              </w:rPr>
              <w:t>总配电柜1台，总开关160A（1IN=125A），塑壳断路器1台，各分路为：100A（1IN=80A）1台，63A（1IN=50A）1台，25A（D型3P）1台，16A（D型3P）2台。电气系统符合国家现行电气安全标准和行业相关标准。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六、装载机</w:t>
            </w:r>
          </w:p>
          <w:p>
            <w:pPr>
              <w:pStyle w:val="null3"/>
            </w:pPr>
            <w:r>
              <w:rPr>
                <w:rFonts w:ascii="仿宋_GB2312" w:hAnsi="仿宋_GB2312" w:cs="仿宋_GB2312" w:eastAsia="仿宋_GB2312"/>
              </w:rPr>
              <w:t>1、额定斗容量：≥1.6m³；</w:t>
            </w:r>
          </w:p>
          <w:p>
            <w:pPr>
              <w:pStyle w:val="null3"/>
            </w:pPr>
            <w:r>
              <w:rPr>
                <w:rFonts w:ascii="仿宋_GB2312" w:hAnsi="仿宋_GB2312" w:cs="仿宋_GB2312" w:eastAsia="仿宋_GB2312"/>
              </w:rPr>
              <w:t>2、额定载重量：≥2700㎏；</w:t>
            </w:r>
          </w:p>
          <w:p>
            <w:pPr>
              <w:pStyle w:val="null3"/>
            </w:pPr>
            <w:r>
              <w:rPr>
                <w:rFonts w:ascii="仿宋_GB2312" w:hAnsi="仿宋_GB2312" w:cs="仿宋_GB2312" w:eastAsia="仿宋_GB2312"/>
              </w:rPr>
              <w:t>3、整机工作质量：≥8500㎏；</w:t>
            </w:r>
          </w:p>
          <w:p>
            <w:pPr>
              <w:pStyle w:val="null3"/>
            </w:pPr>
            <w:r>
              <w:rPr>
                <w:rFonts w:ascii="仿宋_GB2312" w:hAnsi="仿宋_GB2312" w:cs="仿宋_GB2312" w:eastAsia="仿宋_GB2312"/>
              </w:rPr>
              <w:t>4、卸载高度：≥3100mm；</w:t>
            </w:r>
          </w:p>
          <w:p>
            <w:pPr>
              <w:pStyle w:val="null3"/>
            </w:pPr>
            <w:r>
              <w:rPr>
                <w:rFonts w:ascii="仿宋_GB2312" w:hAnsi="仿宋_GB2312" w:cs="仿宋_GB2312" w:eastAsia="仿宋_GB2312"/>
              </w:rPr>
              <w:t>5、卸载距离：≥700mm；</w:t>
            </w:r>
          </w:p>
          <w:p>
            <w:pPr>
              <w:pStyle w:val="null3"/>
            </w:pPr>
            <w:r>
              <w:rPr>
                <w:rFonts w:ascii="仿宋_GB2312" w:hAnsi="仿宋_GB2312" w:cs="仿宋_GB2312" w:eastAsia="仿宋_GB2312"/>
              </w:rPr>
              <w:t>6、整机长、高、宽 ：≥6500mm×2500mm×2400mm；</w:t>
            </w:r>
          </w:p>
          <w:p>
            <w:pPr>
              <w:pStyle w:val="null3"/>
            </w:pPr>
            <w:r>
              <w:rPr>
                <w:rFonts w:ascii="仿宋_GB2312" w:hAnsi="仿宋_GB2312" w:cs="仿宋_GB2312" w:eastAsia="仿宋_GB2312"/>
              </w:rPr>
              <w:t>7、轴距：≥2700mm；</w:t>
            </w:r>
          </w:p>
          <w:p>
            <w:pPr>
              <w:pStyle w:val="null3"/>
            </w:pPr>
            <w:r>
              <w:rPr>
                <w:rFonts w:ascii="仿宋_GB2312" w:hAnsi="仿宋_GB2312" w:cs="仿宋_GB2312" w:eastAsia="仿宋_GB2312"/>
              </w:rPr>
              <w:t>▲8、额定功率：≥90kW</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七、残液处理系统</w:t>
            </w:r>
          </w:p>
          <w:p>
            <w:pPr>
              <w:pStyle w:val="null3"/>
            </w:pPr>
            <w:r>
              <w:rPr>
                <w:rFonts w:ascii="仿宋_GB2312" w:hAnsi="仿宋_GB2312" w:cs="仿宋_GB2312" w:eastAsia="仿宋_GB2312"/>
              </w:rPr>
              <w:t>预埋HDPE双螺旋Ф200的排水管道，收集池为20立方米的玻璃钢收集池，满足尾菜处理设备整个排水系统。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由采购人负责实施验收工作，验收依据为合同、磋商文件、响应文件、相关澄清文件及国家现行相应标准规范。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1年。质保期间，若设备出现非人为原因导致的故障，乙方在接到甲方通知后1日内上门维修，由此发生的费用由乙方承担。质保期满后若设备在使用过程中出现故障，乙方在接到甲方通知后1日内上门维修，所产生的费用，如维修材料费等，由甲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（一）采购包1核心产品：单螺旋压榨机 （二）为顺利推进政府采购电子化交易平台应用工作，供应商需要在线提交所有通过电子化交易平台实施的政府采购项目的响应文件，投标时供应商无需提供纸质版响应文件。成交人（中标人）在领取中标通知书前将纸质版响应文件正本1份、副本2份提交至采购代理机构处（西安市科技路48号创业广场B座1506室），以便采购人进行留存备案等工作，中标人应保持响应文件纸质版内容与电子版（系统上传）内容完全一致，否则将承担一切法律责任。纸质响应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供应商为合法注册的法人、其他组织或自然人，具有独立承担民事责任的能力，提供具有统一社会信用代码证的营业执照（或事业法人证），供应商为自然人的提供身份证；</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纳税证明或完税证明，纳税证明或完税证明上应有代收机构或税务机关的公章或业务专用章；其他组织提供递交响应文件截止之日前六个月内任意一个月缴纳税收的凭据；依法免税的投标单位应提供相关文件证明；</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六个月内任意一个月已缴纳的社会保障资金的凭据（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完整的2023年度或2024年度审计报告（成立时间至提交响应文件截止时间不足一年的可提供成立后任意时段的资产负债表），或提交响应文件截止时间前六个月内银行出具的资信证明（以上形式的资料提供任何一种即可）；其他组织提供银行出具的资信证明或财务报表；</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1)、参加政府采购活动前三年内在经营活动中没有重大违法记录的书面声明； 2)、具有履行本合同所必需的设备和专业技术能力的书面声明；</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供应商名称与响应文件封面、投标函等证明材料是否一致。</w:t>
            </w:r>
          </w:p>
        </w:tc>
        <w:tc>
          <w:tcPr>
            <w:tcW w:type="dxa" w:w="1661"/>
          </w:tcPr>
          <w:p>
            <w:pPr>
              <w:pStyle w:val="null3"/>
            </w:pPr>
            <w:r>
              <w:rPr>
                <w:rFonts w:ascii="仿宋_GB2312" w:hAnsi="仿宋_GB2312" w:cs="仿宋_GB2312" w:eastAsia="仿宋_GB2312"/>
              </w:rPr>
              <w:t>响应文件封面 资格响应.docx 中小企业声明函 残疾人福利性单位声明函 标的清单 报价表 商务技术响应.docx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1）.响应文件是否按照磋商文件要求的格式编写； 2）.响应文件内容是否有重大缺漏项。</w:t>
            </w:r>
          </w:p>
        </w:tc>
        <w:tc>
          <w:tcPr>
            <w:tcW w:type="dxa" w:w="1661"/>
          </w:tcPr>
          <w:p>
            <w:pPr>
              <w:pStyle w:val="null3"/>
            </w:pPr>
            <w:r>
              <w:rPr>
                <w:rFonts w:ascii="仿宋_GB2312" w:hAnsi="仿宋_GB2312" w:cs="仿宋_GB2312" w:eastAsia="仿宋_GB2312"/>
              </w:rPr>
              <w:t>响应文件封面 资格响应.docx 中小企业声明函 残疾人福利性单位声明函 标的清单 报价表 商务技术响应.docx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资格响应.docx 中小企业声明函 残疾人福利性单位声明函 标的清单 报价表 商务技术响应.docx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1）.投标报价是否超过最高限价； 2）.投标报价有效期是否符合磋商文件的要求； 3）.对磋商文件中规定的要求是否做出了实质性响应； 4）.响应文件内容是否符合国家法律法规，没有重大偏离。</w:t>
            </w:r>
          </w:p>
        </w:tc>
        <w:tc>
          <w:tcPr>
            <w:tcW w:type="dxa" w:w="1661"/>
          </w:tcPr>
          <w:p>
            <w:pPr>
              <w:pStyle w:val="null3"/>
            </w:pPr>
            <w:r>
              <w:rPr>
                <w:rFonts w:ascii="仿宋_GB2312" w:hAnsi="仿宋_GB2312" w:cs="仿宋_GB2312" w:eastAsia="仿宋_GB2312"/>
              </w:rPr>
              <w:t>响应文件封面 资格响应.docx 中小企业声明函 残疾人福利性单位声明函 标的清单 报价表 商务技术响应.docx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拟定的实施方案，进行综合评审，内容包含但不限于：①供货方案；②人员配置方案；③进度计划及措施；④设备安装调试方案；⑤安全管理方案；⑥环境保护措施；⑦包装运输方案；⑧交付方案；⑨项目重点、难点分析及解决方案。实施方案包括以上9项内容（专门根据本项目编写且符合本项目实际需求的）得36分；每缺少一项内容扣4分；单项内容中存在缺陷的，每有一处扣0.5分，单项最多扣4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磋商文件中★项为实质性参数指标；▲为重要参数指标；其他为一般参数指标。供应商▲重要参数指标完全符合响应磋商文件参数要求没有负偏离计4分，▲项（共4项），每负偏离一项的扣1分，扣完为止。 【注：1.带★项为实质性参数指标，不符合为无效投标。 2.须提供与其产品一致的佐证材料（测试报告或官网和功能截图或产品的彩页或说明书或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对本项目拟定的质量保证措施，进行综合评审，内容包含但不限于：①所投产品符合国家相关质量标准，产品性能稳定；②确保产品进货渠道正规，提供证明资料，包括但不限于产品来源渠道合法承诺函（格式自拟）或代理协议、销售协议或原厂授权等；③在产品使用、技术保障方面的质量保证措施及承诺；④质量质检控制及流程方案；⑤安装调试质量保障措施；⑥质保期内出现质量问题时的应对措施。质量保证包括以上6项内容（专门根据本项目编写且符合本项目实际需求的）得12分；每缺少一项内容扣2分；单项内容中存在缺陷的，每有一处扣0.5分，单项最多扣2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对本项目提供完整的项目应急预案，进行综合评审，内容包含但不限于：①产品交付过程中出现突发问题的应急处置方案；②出现突发状况应急响应时间。应急预案包括以上2项内容（专门根据本项目编写且符合本项目实际需求的）得4分；每缺少一项内容扣2分；单项内容中存在缺陷的，每有一处扣0.5分，单项最多扣2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完整的售后服务方案。内容包含但不限于：①售后服务方案；②培训方案；③故障处理的响应时间和安排计划；④质保期内及质保期外保障维护服务。售后服务方案包括以上4项内容（专门根据本项目编写且符合本项目实际需求的）得12分；每缺少一项内容扣3分；单项内容中存在缺陷的，每有一处扣0.5分，单项最多扣3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提供供应商或所投产品制造商的自2020年1月1日（以合同签订日期为准）至今类似项目业绩合同，每提供1个得1分，注：需提供完整合同复印件并加盖公章。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价格分统一采用低价优先法计算，既满足磋商文件要求且投标总报价最低为评标基准价，其价格分为满分。有效报价得分=（评标基准价/投标报价）×30。 供应商的报价明显低于正常报价的，评标委员会可要求供应商在规定的期限内提供相关证明材料；供应商不能证明其报价合理的，可视为无效投标。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详见附件：资格响应.docx</w:t>
      </w:r>
    </w:p>
    <w:p>
      <w:pPr>
        <w:pStyle w:val="null3"/>
        <w:ind w:firstLine="960"/>
      </w:pPr>
      <w:r>
        <w:rPr>
          <w:rFonts w:ascii="仿宋_GB2312" w:hAnsi="仿宋_GB2312" w:cs="仿宋_GB2312" w:eastAsia="仿宋_GB2312"/>
        </w:rPr>
        <w:t>详见附件：商务技术响应.docx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