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版本号：HYGJ-XF-56320251204002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三原县朱鹮等国家重点野生动物繁育救助站点建设项目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HYGJ-XF-563</w:t>
      </w:r>
      <w:r>
        <w:br/>
      </w:r>
      <w:r>
        <w:br/>
      </w:r>
      <w:r>
        <w:br/>
      </w:r>
    </w:p>
    <w:p>
      <w:pPr>
        <w:pStyle w:val="null3"/>
        <w:jc w:val="center"/>
        <w:outlineLvl w:val="2"/>
      </w:pPr>
      <w:r>
        <w:rPr>
          <w:rFonts w:ascii="仿宋_GB2312" w:hAnsi="仿宋_GB2312" w:cs="仿宋_GB2312" w:eastAsia="仿宋_GB2312"/>
          <w:sz w:val="28"/>
          <w:b/>
        </w:rPr>
        <w:t>三原县林业工作站</w:t>
      </w:r>
    </w:p>
    <w:p>
      <w:pPr>
        <w:pStyle w:val="null3"/>
        <w:jc w:val="center"/>
        <w:outlineLvl w:val="2"/>
      </w:pPr>
      <w:r>
        <w:rPr>
          <w:rFonts w:ascii="仿宋_GB2312" w:hAnsi="仿宋_GB2312" w:cs="仿宋_GB2312" w:eastAsia="仿宋_GB2312"/>
          <w:sz w:val="28"/>
          <w:b/>
        </w:rPr>
        <w:t>宏业国际项目管理有限公司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宏业国际项目管理有限公司</w:t>
      </w:r>
      <w:r>
        <w:rPr>
          <w:rFonts w:ascii="仿宋_GB2312" w:hAnsi="仿宋_GB2312" w:cs="仿宋_GB2312" w:eastAsia="仿宋_GB2312"/>
        </w:rPr>
        <w:t>（以下简称“代理机构”）受</w:t>
      </w:r>
      <w:r>
        <w:rPr>
          <w:rFonts w:ascii="仿宋_GB2312" w:hAnsi="仿宋_GB2312" w:cs="仿宋_GB2312" w:eastAsia="仿宋_GB2312"/>
        </w:rPr>
        <w:t>三原县林业工作站</w:t>
      </w:r>
      <w:r>
        <w:rPr>
          <w:rFonts w:ascii="仿宋_GB2312" w:hAnsi="仿宋_GB2312" w:cs="仿宋_GB2312" w:eastAsia="仿宋_GB2312"/>
        </w:rPr>
        <w:t>委托，拟对</w:t>
      </w:r>
      <w:r>
        <w:rPr>
          <w:rFonts w:ascii="仿宋_GB2312" w:hAnsi="仿宋_GB2312" w:cs="仿宋_GB2312" w:eastAsia="仿宋_GB2312"/>
        </w:rPr>
        <w:t>三原县朱鹮等国家重点野生动物繁育救助站点建设项目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HYGJ-XF-563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三原县朱鹮等国家重点野生动物繁育救助站点建设项目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本项目总用地11.18亩，平整场地面积5024平方米(7.536亩)，建设救助大网新棚2350平方米(3.525亩)，围墙60米及室外照明、室外排水管网100米和化粪池、绿化恢复和防护工程。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采购包1（三原县朱鹮等国家重点野生动物繁育救助站点建设项目）：属于专门面向中小企业采购。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p>
      <w:pPr>
        <w:pStyle w:val="null3"/>
      </w:pPr>
      <w:r>
        <w:rPr>
          <w:rFonts w:ascii="仿宋_GB2312" w:hAnsi="仿宋_GB2312" w:cs="仿宋_GB2312" w:eastAsia="仿宋_GB2312"/>
        </w:rPr>
        <w:t>2、资质要求：供应商具有建设行政主管部门颁发的建筑工程施工总承包叁级及以上资质；具备有效的安全生产许可证；</w:t>
      </w:r>
    </w:p>
    <w:p>
      <w:pPr>
        <w:pStyle w:val="null3"/>
      </w:pPr>
      <w:r>
        <w:rPr>
          <w:rFonts w:ascii="仿宋_GB2312" w:hAnsi="仿宋_GB2312" w:cs="仿宋_GB2312" w:eastAsia="仿宋_GB2312"/>
        </w:rPr>
        <w:t>3、项目经理要求：拟派项目经理具备建筑专业二级（含以上级）注册建造师执业资格，且无在建项目；同时具有建设行政主管部门颁发的安全生产考核合格证书（B类）；</w:t>
      </w:r>
    </w:p>
    <w:p>
      <w:pPr>
        <w:pStyle w:val="null3"/>
      </w:pPr>
      <w:r>
        <w:rPr>
          <w:rFonts w:ascii="仿宋_GB2312" w:hAnsi="仿宋_GB2312" w:cs="仿宋_GB2312" w:eastAsia="仿宋_GB2312"/>
        </w:rPr>
        <w:t>4、财务要求：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p>
      <w:pPr>
        <w:pStyle w:val="null3"/>
      </w:pPr>
      <w:r>
        <w:rPr>
          <w:rFonts w:ascii="仿宋_GB2312" w:hAnsi="仿宋_GB2312" w:cs="仿宋_GB2312" w:eastAsia="仿宋_GB2312"/>
        </w:rPr>
        <w:t>5、税收缴纳证明：提供响应文件递交截止日前6个月内已缴纳的至少一个月的纳税证明或完税证明，依法免税的单位应提供相关证明材料；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响应文件递交截止日前6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7、无重大违法记录声明：提供参加政府采购活动前3年内，在经营活动中没有重大违法记录的书面声明；</w:t>
      </w:r>
    </w:p>
    <w:p>
      <w:pPr>
        <w:pStyle w:val="null3"/>
      </w:pPr>
      <w:r>
        <w:rPr>
          <w:rFonts w:ascii="仿宋_GB2312" w:hAnsi="仿宋_GB2312" w:cs="仿宋_GB2312" w:eastAsia="仿宋_GB2312"/>
        </w:rPr>
        <w:t>8、法定代表人证明书或法定代表人授权书：供应商应授权合法的人员参加全过程，其中法定代表人直接参加的，须出具法人身份证，并与营业执照上信息一致；法定代表人授权代表参加的，须出具法定代表人授权书及授权代表身份证；</w:t>
      </w:r>
    </w:p>
    <w:p>
      <w:pPr>
        <w:pStyle w:val="null3"/>
      </w:pPr>
      <w:r>
        <w:rPr>
          <w:rFonts w:ascii="仿宋_GB2312" w:hAnsi="仿宋_GB2312" w:cs="仿宋_GB2312" w:eastAsia="仿宋_GB2312"/>
        </w:rPr>
        <w:t>9、书面声明：提供具有履行本合同所必需的设备和专业技术能力的声明；</w:t>
      </w:r>
    </w:p>
    <w:p>
      <w:pPr>
        <w:pStyle w:val="null3"/>
      </w:pPr>
      <w:r>
        <w:rPr>
          <w:rFonts w:ascii="仿宋_GB2312" w:hAnsi="仿宋_GB2312" w:cs="仿宋_GB2312" w:eastAsia="仿宋_GB2312"/>
        </w:rPr>
        <w:t>10、信誉记录：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11、控股、管理关系声明：单位负责人为同一人或者存在直接控股、管理关系的不同供应商，不得参加同一合同项下的政府采购活动；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12、联合体要求：本项目不接受联合体磋商。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三原县林业工作站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三原县宴友思大街中段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郭亚龙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13636896978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宏业国际项目管理有限公司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陕西省西咸新区沣西新城中铁港沣国际十三层 1309室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029-88680610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采购包1：1,150,505.89元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在领取成交通知书前，须向采购代理机构一次性支付采购代理服务费，采购代理服务费参照《国家计委关于印发&lt;招标代理服务收费管理暂行办法&gt;的通知》（计价格[2002]1980号文件）、《国家发展改革委关于降低部分建设项目收费标准规范收费行为等有关问题的通知》（发改价格[2011]534号）和采购代理合同约定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三原县林业工作站</w:t>
      </w:r>
      <w:r>
        <w:rPr>
          <w:rFonts w:ascii="仿宋_GB2312" w:hAnsi="仿宋_GB2312" w:cs="仿宋_GB2312" w:eastAsia="仿宋_GB2312"/>
        </w:rPr>
        <w:t>和</w:t>
      </w:r>
      <w:r>
        <w:rPr>
          <w:rFonts w:ascii="仿宋_GB2312" w:hAnsi="仿宋_GB2312" w:cs="仿宋_GB2312" w:eastAsia="仿宋_GB2312"/>
        </w:rPr>
        <w:t>宏业国际项目管理有限公司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三原县林业工作站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宏业国际项目管理有限公司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三原县林业工作站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宏业国际项目管理有限公司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完成三原县朱鹮等国家重点野生动物繁育救助点建设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宏业国际项目管理有限公司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联系人：王静</w:t>
      </w:r>
    </w:p>
    <w:p>
      <w:pPr>
        <w:pStyle w:val="null3"/>
      </w:pPr>
      <w:r>
        <w:rPr>
          <w:rFonts w:ascii="仿宋_GB2312" w:hAnsi="仿宋_GB2312" w:cs="仿宋_GB2312" w:eastAsia="仿宋_GB2312"/>
        </w:rPr>
        <w:t>联系电话：029-88680610</w:t>
      </w:r>
    </w:p>
    <w:p>
      <w:pPr>
        <w:pStyle w:val="null3"/>
      </w:pPr>
      <w:r>
        <w:rPr>
          <w:rFonts w:ascii="仿宋_GB2312" w:hAnsi="仿宋_GB2312" w:cs="仿宋_GB2312" w:eastAsia="仿宋_GB2312"/>
        </w:rPr>
        <w:t>地址：陕西省西咸新区沣西新城中铁港沣国际十三层 1309室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1,150,505.89</w:t>
      </w:r>
    </w:p>
    <w:p>
      <w:pPr>
        <w:pStyle w:val="null3"/>
      </w:pPr>
      <w:r>
        <w:rPr>
          <w:rFonts w:ascii="仿宋_GB2312" w:hAnsi="仿宋_GB2312" w:cs="仿宋_GB2312" w:eastAsia="仿宋_GB2312"/>
        </w:rPr>
        <w:t>采购包最高限价（元）: 1,150,505.89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三原县朱鹮等国家重点野生动物繁育救助站点建设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1,150,505.89</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标的名称：三原县朱鹮等国家重点野生动物繁育救助站点建设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color w:val="000000"/>
              </w:rPr>
              <w:t>工期：自进场之日起150个日历天内竣工；</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1"/>
              </w:rPr>
              <w:t>质量保修期：自项目完成验收合格之日1年；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施工要求：在施工期间，成交供应商必须加强安全措施，并对施工人员进行安全教育，施工人员必须持证上岗。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供应商根据单位自身情况及项目实际情况配置。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顺利推进政府采购电子化交易平台试点应用工作，供应商需要在线提交所有通过电子化交易平台实施的政府采购项目的响应文件，同时，线下提交纸质响应文件正本壹份、副本壹份、电子版壹份（正本扫描件，U盘份）。2）纸质响应文件正副本分别胶装，标明供应商名称密封递交，递交截止时间同在线递交电子响应文件截止时间一致。3）若电子响应文件与纸质响应文件不一致的，以线上提交的电子响应文件为准。4）线下递交文件时间：同响应文件截止时间、开标时间一致。线下递交文件地点：陕西省西咸新区沣西新城中铁港沣国际十三层 1308室。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投标人需要补充的事宜</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应具有独立承担民事责任的能力且具备向采购人提供相关货物及相应服务的企业法人/事业法人/其他组织,企业法人应提供合法有效的营业执照等证明文件，事业法人应提供合法有效的事业单位法人证等证明文件，其他组织应提供合法有效的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供应商具有建设行政主管部门颁发的建筑工程施工总承包叁级及以上资质；具备有效的安全生产许可证；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拟派项目经理具备建筑专业二级（含以上级）注册建造师执业资格，且无在建项目；同时具有建设行政主管部门颁发的安全生产考核合格证书（B类）；</w:t>
            </w:r>
          </w:p>
        </w:tc>
        <w:tc>
          <w:tcPr>
            <w:tcW w:type="dxa" w:w="1661"/>
          </w:tcPr>
          <w:p>
            <w:pPr>
              <w:pStyle w:val="null3"/>
            </w:pPr>
            <w:r>
              <w:rPr>
                <w:rFonts w:ascii="仿宋_GB2312" w:hAnsi="仿宋_GB2312" w:cs="仿宋_GB2312" w:eastAsia="仿宋_GB2312"/>
              </w:rPr>
              <w:t>项目管理机构组成表 响应函 主要人员简历表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财务要求</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开标前三个月内基本存款账户开户银行出具的资信证明及基本存款账户开户许可证（或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提供响应文件递交截止日前6个月内已缴纳的至少一个月的纳税证明或完税证明，依法免税的单位应提供相关证明材料；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提供响应文件递交截止日前6个月内已缴存的至少一个月的社会保障资金缴存单据或社保机构开具的社会保险参保缴费情况证明，依法不需要缴纳社会保障资金的单位应提供相关证明材料；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法定代表人证明书或法定代表人授权书</w:t>
            </w:r>
          </w:p>
        </w:tc>
        <w:tc>
          <w:tcPr>
            <w:tcW w:type="dxa" w:w="3322"/>
          </w:tcPr>
          <w:p>
            <w:pPr>
              <w:pStyle w:val="null3"/>
            </w:pPr>
            <w:r>
              <w:rPr>
                <w:rFonts w:ascii="仿宋_GB2312" w:hAnsi="仿宋_GB2312" w:cs="仿宋_GB2312" w:eastAsia="仿宋_GB2312"/>
              </w:rPr>
              <w:t>供应商应授权合法的人员参加全过程，其中法定代表人直接参加的，须出具法人身份证，并与营业执照上信息一致；法定代表人授权代表参加的，须出具法定代表人授权书及授权代表身份证；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信誉记录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联合体要求</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响应文件构成无重大缺项（详细评审除外），按照文件要求的格式编写响应文件</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响应文件的签署、盖章符合文件要求，供应商递交的响应文件与本项目名称一致</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已标价工程量清单 中小企业声明函 技术方案 技术服务合同条款及其他商务要求应答表 供应商应提交的相关资格证明材料 强制优先采购产品承诺函 响应文件封面 项目管理机构组成表 残疾人福利性单位声明函 报价函 标的清单 供应商类似项目业绩一览表 响应函 投标人需要补充的事宜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①前期筹备全面部署②施工流程科学规划及成本控制精准高③安全管理全程覆盖 ④工程质量保证措施⑤施工机械设备配备⑥劳动力计划及主要材料供应计划计划效评审标准：施工方案切合本项目实际情况，内容与要点相符、每个要点均有展开详细的阐述且能够适用于本项目的得12分；评审内容任意一项缺项扣2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项目管理机构及项目经理部组成</w:t>
            </w:r>
          </w:p>
        </w:tc>
        <w:tc>
          <w:tcPr>
            <w:tcW w:type="dxa" w:w="2492"/>
          </w:tcPr>
          <w:p>
            <w:pPr>
              <w:pStyle w:val="null3"/>
            </w:pPr>
            <w:r>
              <w:rPr>
                <w:rFonts w:ascii="仿宋_GB2312" w:hAnsi="仿宋_GB2312" w:cs="仿宋_GB2312" w:eastAsia="仿宋_GB2312"/>
              </w:rPr>
              <w:t>①项目管理机构②项目经理部组成评审标准：以上内容切合本项目实际情况及实施要求，内容与要点相符、每个要点均有展开详细的阐述且能够适用于本项目的得6分；评审内容任意一项缺项扣3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确保安全生产的技术组织措施及应急预案</w:t>
            </w:r>
          </w:p>
        </w:tc>
        <w:tc>
          <w:tcPr>
            <w:tcW w:type="dxa" w:w="2492"/>
          </w:tcPr>
          <w:p>
            <w:pPr>
              <w:pStyle w:val="null3"/>
            </w:pPr>
            <w:r>
              <w:rPr>
                <w:rFonts w:ascii="仿宋_GB2312" w:hAnsi="仿宋_GB2312" w:cs="仿宋_GB2312" w:eastAsia="仿宋_GB2312"/>
              </w:rPr>
              <w:t>①确保安全生产的技术组织措施②应急预案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确保文明施工的技术措施及环境保护措施</w:t>
            </w:r>
          </w:p>
        </w:tc>
        <w:tc>
          <w:tcPr>
            <w:tcW w:type="dxa" w:w="2492"/>
          </w:tcPr>
          <w:p>
            <w:pPr>
              <w:pStyle w:val="null3"/>
            </w:pPr>
            <w:r>
              <w:rPr>
                <w:rFonts w:ascii="仿宋_GB2312" w:hAnsi="仿宋_GB2312" w:cs="仿宋_GB2312" w:eastAsia="仿宋_GB2312"/>
              </w:rPr>
              <w:t>①确保文明施工的技术措施②环境保护措施 评审标准：以上内容切合本项目实际情况及实施要求，内容与要点相符、每个要点均有展开详细的阐述且能够适用于本项目的得10分；评审内容任意一项缺项扣5分；评审内容任意一项有缺陷（缺陷是指：内容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施工进度计划及确保工期的技术措施</w:t>
            </w:r>
          </w:p>
        </w:tc>
        <w:tc>
          <w:tcPr>
            <w:tcW w:type="dxa" w:w="2492"/>
          </w:tcPr>
          <w:p>
            <w:pPr>
              <w:pStyle w:val="null3"/>
            </w:pPr>
            <w:r>
              <w:rPr>
                <w:rFonts w:ascii="仿宋_GB2312" w:hAnsi="仿宋_GB2312" w:cs="仿宋_GB2312" w:eastAsia="仿宋_GB2312"/>
              </w:rPr>
              <w:t>①施工进度计划②确保工期的技术措施 评审标准：以上内容切合本项目实际情况及实施要求，内容与要点相符、每个要点均有展开详细的阐述且能够适用于本项目的得6分；评审内容任意一项缺项扣3分；评审内容任意一项有缺陷（缺陷是指：进度计划安排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技术方案</w:t>
            </w:r>
          </w:p>
        </w:tc>
      </w:tr>
      <w:tr>
        <w:tc>
          <w:tcPr>
            <w:tcW w:type="dxa" w:w="831"/>
            <w:vMerge/>
          </w:tcPr>
          <w:p/>
        </w:tc>
        <w:tc>
          <w:tcPr>
            <w:tcW w:type="dxa" w:w="1661"/>
          </w:tcPr>
          <w:p>
            <w:pPr>
              <w:pStyle w:val="null3"/>
            </w:pPr>
            <w:r>
              <w:rPr>
                <w:rFonts w:ascii="仿宋_GB2312" w:hAnsi="仿宋_GB2312" w:cs="仿宋_GB2312" w:eastAsia="仿宋_GB2312"/>
              </w:rPr>
              <w:t>施工质量的保证技术措施</w:t>
            </w:r>
          </w:p>
        </w:tc>
        <w:tc>
          <w:tcPr>
            <w:tcW w:type="dxa" w:w="2492"/>
          </w:tcPr>
          <w:p>
            <w:pPr>
              <w:pStyle w:val="null3"/>
            </w:pPr>
            <w:r>
              <w:rPr>
                <w:rFonts w:ascii="仿宋_GB2312" w:hAnsi="仿宋_GB2312" w:cs="仿宋_GB2312" w:eastAsia="仿宋_GB2312"/>
              </w:rPr>
              <w:t>①质量保证方案②确保质量的技术措施 评审标准：以上内容切合本项目实际情况及实施要求，内容与要点相符、每个要点均有展开详细的阐述且能够适用于本项目的得6分；评审内容任意一项缺项扣3分；评审内容任意一项有缺陷（缺陷是指：质量保证方案不合理、措施内容简单、与项目特点不匹配、套用其他项目方案、存在不可能实现的夸大情形、存在不适用项目实际情况的情形或只有标题没有实质性内容）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雨季施工管理防范措施</w:t>
            </w:r>
          </w:p>
        </w:tc>
        <w:tc>
          <w:tcPr>
            <w:tcW w:type="dxa" w:w="2492"/>
          </w:tcPr>
          <w:p>
            <w:pPr>
              <w:pStyle w:val="null3"/>
            </w:pPr>
            <w:r>
              <w:rPr>
                <w:rFonts w:ascii="仿宋_GB2312" w:hAnsi="仿宋_GB2312" w:cs="仿宋_GB2312" w:eastAsia="仿宋_GB2312"/>
              </w:rPr>
              <w:t>雨季施工管理防范措施 评审标准：以上内容切合本项目实际情况，方案详细有针对性得4分；未提供措施方案不得分。评审内容任意一项有缺陷（缺陷是指：方案粗略、逻辑混乱、描述过于简单、与项目特点不匹配、凭空编造、逻辑漏洞、出现常识性错误、套用其他项目方案、存在不可能实现的夸大情形、存在不适用项目实际情况的情形或只有标题没有实质性内容）扣2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①服务过程中的相关承诺②投入材料质量承诺③质量保修期内的服务承诺④合理化建议评审标准：以上内容与要点相符、每个要点均有展开详细的阐述且能够适用于本项目的得7分； 评审内容任意一项缺项扣2.5分；评审内容任意一项有缺陷（缺陷是指：内容简单、与项目特点不匹配、套用其他项目相关内容或存在不适用项目实际情况的情形）扣1分。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供应商2022年12月以来同类项目业绩；每提供1份计3分，最高得9分。业绩证明（以合同或中标/成交通知书为准，须在磋商响应文件中附以上证明材料的扫描件加盖单位公章）弄虚作假者，取消其成交资格。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磋商报价得分=（磋商基准价/最终磋商报价）×30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详见附件：技术方案</w:t>
      </w:r>
    </w:p>
    <w:p>
      <w:pPr>
        <w:pStyle w:val="null3"/>
        <w:ind w:firstLine="960"/>
      </w:pPr>
      <w:r>
        <w:rPr>
          <w:rFonts w:ascii="仿宋_GB2312" w:hAnsi="仿宋_GB2312" w:cs="仿宋_GB2312" w:eastAsia="仿宋_GB2312"/>
        </w:rPr>
        <w:t>详见附件：投标人需要补充的事宜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