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3137F8">
      <w:pPr>
        <w:jc w:val="center"/>
        <w:rPr>
          <w:rFonts w:hint="eastAsia" w:ascii="华文中宋" w:hAnsi="华文中宋" w:eastAsia="华文中宋"/>
          <w:b/>
          <w:bCs/>
          <w:color w:val="auto"/>
          <w:sz w:val="40"/>
          <w:szCs w:val="40"/>
          <w:highlight w:val="none"/>
        </w:rPr>
      </w:pPr>
    </w:p>
    <w:p w14:paraId="4FCC0B8D">
      <w:pPr>
        <w:jc w:val="center"/>
        <w:rPr>
          <w:rFonts w:hint="eastAsia" w:ascii="华文中宋" w:hAnsi="华文中宋" w:eastAsia="华文中宋"/>
          <w:b/>
          <w:bCs/>
          <w:color w:val="auto"/>
          <w:sz w:val="40"/>
          <w:szCs w:val="40"/>
          <w:highlight w:val="none"/>
        </w:rPr>
      </w:pPr>
    </w:p>
    <w:p w14:paraId="69F158A3">
      <w:pPr>
        <w:jc w:val="center"/>
        <w:rPr>
          <w:rFonts w:hint="eastAsia" w:ascii="华文中宋" w:hAnsi="华文中宋" w:eastAsia="华文中宋"/>
          <w:b/>
          <w:bCs/>
          <w:color w:val="auto"/>
          <w:sz w:val="40"/>
          <w:szCs w:val="40"/>
          <w:highlight w:val="none"/>
        </w:rPr>
      </w:pPr>
      <w:r>
        <w:rPr>
          <w:rFonts w:hint="eastAsia" w:ascii="华文中宋" w:hAnsi="华文中宋" w:eastAsia="华文中宋"/>
          <w:b/>
          <w:bCs/>
          <w:color w:val="auto"/>
          <w:sz w:val="40"/>
          <w:szCs w:val="40"/>
          <w:highlight w:val="none"/>
        </w:rPr>
        <w:t>县委党校新校区学员餐厅设备及空调设备采购项目</w:t>
      </w:r>
    </w:p>
    <w:p w14:paraId="75891314">
      <w:pPr>
        <w:rPr>
          <w:rFonts w:hint="eastAsia"/>
          <w:color w:val="auto"/>
          <w:highlight w:val="none"/>
        </w:rPr>
      </w:pPr>
    </w:p>
    <w:p w14:paraId="51AD1E05">
      <w:pPr>
        <w:rPr>
          <w:rFonts w:hint="eastAsia"/>
          <w:color w:val="auto"/>
          <w:highlight w:val="none"/>
        </w:rPr>
      </w:pPr>
    </w:p>
    <w:p w14:paraId="40499139">
      <w:pPr>
        <w:rPr>
          <w:rFonts w:hint="eastAsia"/>
          <w:color w:val="auto"/>
          <w:highlight w:val="none"/>
        </w:rPr>
      </w:pPr>
    </w:p>
    <w:p w14:paraId="07200720">
      <w:pPr>
        <w:jc w:val="center"/>
        <w:rPr>
          <w:rFonts w:hint="eastAsia" w:eastAsia="宋体"/>
          <w:b/>
          <w:bCs/>
          <w:color w:val="auto"/>
          <w:highlight w:val="none"/>
          <w:lang w:eastAsia="zh-CN"/>
        </w:rPr>
      </w:pPr>
      <w:r>
        <w:rPr>
          <w:rFonts w:hint="eastAsia"/>
          <w:b/>
          <w:bCs/>
          <w:color w:val="auto"/>
          <w:highlight w:val="none"/>
          <w:lang w:eastAsia="zh-CN"/>
        </w:rPr>
        <w:t>（</w:t>
      </w:r>
      <w:r>
        <w:rPr>
          <w:rFonts w:hint="eastAsia"/>
          <w:b/>
          <w:bCs/>
          <w:color w:val="auto"/>
          <w:highlight w:val="none"/>
          <w:lang w:val="en-US" w:eastAsia="zh-CN"/>
        </w:rPr>
        <w:t>包1/包2</w:t>
      </w:r>
      <w:r>
        <w:rPr>
          <w:rFonts w:hint="eastAsia"/>
          <w:b/>
          <w:bCs/>
          <w:color w:val="auto"/>
          <w:highlight w:val="none"/>
          <w:lang w:eastAsia="zh-CN"/>
        </w:rPr>
        <w:t>）</w:t>
      </w:r>
    </w:p>
    <w:p w14:paraId="19FA193A">
      <w:pPr>
        <w:rPr>
          <w:rFonts w:hint="eastAsia"/>
          <w:color w:val="auto"/>
          <w:highlight w:val="none"/>
        </w:rPr>
      </w:pPr>
    </w:p>
    <w:p w14:paraId="5F52B870">
      <w:pPr>
        <w:jc w:val="center"/>
        <w:rPr>
          <w:rFonts w:hint="eastAsia" w:ascii="仿宋_GB2312" w:eastAsia="仿宋_GB2312"/>
          <w:b/>
          <w:color w:val="auto"/>
          <w:sz w:val="36"/>
          <w:szCs w:val="36"/>
          <w:highlight w:val="none"/>
        </w:rPr>
      </w:pPr>
      <w:r>
        <w:rPr>
          <w:rFonts w:hint="eastAsia" w:ascii="仿宋_GB2312" w:eastAsia="仿宋_GB2312"/>
          <w:b/>
          <w:color w:val="auto"/>
          <w:sz w:val="36"/>
          <w:szCs w:val="36"/>
          <w:highlight w:val="none"/>
        </w:rPr>
        <w:t>（示范文本）</w:t>
      </w:r>
    </w:p>
    <w:p w14:paraId="3A14F7E8">
      <w:pPr>
        <w:spacing w:beforeLines="50" w:line="360" w:lineRule="auto"/>
        <w:jc w:val="center"/>
        <w:rPr>
          <w:rFonts w:hint="eastAsia" w:ascii="仿宋_GB2312" w:hAnsi="宋体" w:eastAsia="仿宋_GB2312"/>
          <w:b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_GB2312" w:hAnsi="宋体" w:eastAsia="仿宋_GB2312"/>
          <w:b/>
          <w:bCs w:val="0"/>
          <w:color w:val="auto"/>
          <w:sz w:val="28"/>
          <w:szCs w:val="28"/>
          <w:highlight w:val="none"/>
          <w:lang w:eastAsia="zh-CN"/>
        </w:rPr>
        <w:t>仅供参考，具体内容由甲乙双方协商而定</w:t>
      </w:r>
    </w:p>
    <w:p w14:paraId="0F8CC215">
      <w:pPr>
        <w:jc w:val="center"/>
        <w:rPr>
          <w:rFonts w:hint="eastAsia" w:ascii="仿宋_GB2312" w:eastAsia="仿宋_GB2312"/>
          <w:b/>
          <w:color w:val="auto"/>
          <w:sz w:val="36"/>
          <w:szCs w:val="36"/>
          <w:highlight w:val="none"/>
        </w:rPr>
      </w:pPr>
    </w:p>
    <w:p w14:paraId="05EA4521">
      <w:pPr>
        <w:jc w:val="center"/>
        <w:rPr>
          <w:rFonts w:hint="eastAsia" w:ascii="仿宋_GB2312" w:eastAsia="仿宋_GB2312"/>
          <w:b/>
          <w:color w:val="auto"/>
          <w:sz w:val="36"/>
          <w:szCs w:val="36"/>
          <w:highlight w:val="none"/>
        </w:rPr>
      </w:pPr>
    </w:p>
    <w:p w14:paraId="4915823E">
      <w:pPr>
        <w:jc w:val="center"/>
        <w:rPr>
          <w:rFonts w:hint="eastAsia" w:ascii="仿宋_GB2312" w:eastAsia="仿宋_GB2312"/>
          <w:b/>
          <w:color w:val="auto"/>
          <w:sz w:val="36"/>
          <w:szCs w:val="36"/>
          <w:highlight w:val="none"/>
        </w:rPr>
      </w:pPr>
    </w:p>
    <w:p w14:paraId="33D88955">
      <w:pPr>
        <w:jc w:val="center"/>
        <w:rPr>
          <w:rFonts w:hint="eastAsia" w:ascii="仿宋_GB2312" w:eastAsia="仿宋_GB2312"/>
          <w:b/>
          <w:color w:val="auto"/>
          <w:sz w:val="36"/>
          <w:szCs w:val="36"/>
          <w:highlight w:val="none"/>
        </w:rPr>
      </w:pPr>
    </w:p>
    <w:p w14:paraId="241C9EF9">
      <w:pPr>
        <w:jc w:val="center"/>
        <w:rPr>
          <w:rFonts w:hint="eastAsia" w:ascii="仿宋_GB2312" w:eastAsia="仿宋_GB2312"/>
          <w:b/>
          <w:color w:val="auto"/>
          <w:sz w:val="36"/>
          <w:szCs w:val="36"/>
          <w:highlight w:val="none"/>
        </w:rPr>
      </w:pPr>
    </w:p>
    <w:p w14:paraId="302F0E91">
      <w:pPr>
        <w:jc w:val="center"/>
        <w:rPr>
          <w:rFonts w:hint="eastAsia" w:ascii="仿宋_GB2312" w:eastAsia="仿宋_GB2312"/>
          <w:b/>
          <w:color w:val="auto"/>
          <w:sz w:val="36"/>
          <w:szCs w:val="36"/>
          <w:highlight w:val="none"/>
        </w:rPr>
      </w:pPr>
    </w:p>
    <w:p w14:paraId="77ACA9AB">
      <w:pPr>
        <w:jc w:val="center"/>
        <w:rPr>
          <w:rFonts w:hint="eastAsia" w:ascii="仿宋_GB2312" w:eastAsia="仿宋_GB2312"/>
          <w:b/>
          <w:color w:val="auto"/>
          <w:sz w:val="36"/>
          <w:szCs w:val="36"/>
          <w:highlight w:val="none"/>
        </w:rPr>
      </w:pPr>
    </w:p>
    <w:p w14:paraId="6DB2EC9D">
      <w:pPr>
        <w:spacing w:beforeLines="50" w:line="360" w:lineRule="auto"/>
        <w:jc w:val="center"/>
        <w:rPr>
          <w:rFonts w:hint="eastAsia" w:ascii="仿宋_GB2312" w:hAnsi="宋体" w:eastAsia="仿宋_GB2312"/>
          <w:b/>
          <w:bCs w:val="0"/>
          <w:color w:val="auto"/>
          <w:sz w:val="28"/>
          <w:szCs w:val="28"/>
          <w:highlight w:val="none"/>
          <w:lang w:eastAsia="zh-CN"/>
        </w:rPr>
      </w:pPr>
    </w:p>
    <w:p w14:paraId="78CAC45F">
      <w:pPr>
        <w:spacing w:beforeLines="50" w:line="360" w:lineRule="auto"/>
        <w:jc w:val="center"/>
        <w:rPr>
          <w:rFonts w:hint="eastAsia" w:ascii="仿宋_GB2312" w:hAnsi="宋体" w:eastAsia="仿宋_GB2312"/>
          <w:b/>
          <w:bCs w:val="0"/>
          <w:color w:val="auto"/>
          <w:sz w:val="28"/>
          <w:szCs w:val="28"/>
          <w:highlight w:val="none"/>
          <w:lang w:eastAsia="zh-CN"/>
        </w:rPr>
      </w:pPr>
    </w:p>
    <w:p w14:paraId="6EE1B3F5">
      <w:pPr>
        <w:adjustRightInd w:val="0"/>
        <w:snapToGrid w:val="0"/>
        <w:spacing w:line="580" w:lineRule="exact"/>
        <w:ind w:firstLine="482" w:firstLineChars="200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hAnsi="宋体" w:cs="宋体"/>
          <w:b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b/>
          <w:highlight w:val="none"/>
        </w:rPr>
        <w:t>（全称）：</w:t>
      </w:r>
    </w:p>
    <w:p w14:paraId="3B070215">
      <w:pPr>
        <w:adjustRightInd w:val="0"/>
        <w:snapToGrid w:val="0"/>
        <w:spacing w:line="580" w:lineRule="exact"/>
        <w:ind w:firstLine="482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hAnsi="宋体" w:cs="宋体"/>
          <w:b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b/>
          <w:highlight w:val="none"/>
        </w:rPr>
        <w:t>（全称）：</w:t>
      </w:r>
    </w:p>
    <w:p w14:paraId="41EDD9B4">
      <w:pPr>
        <w:spacing w:beforeLines="50" w:line="360" w:lineRule="auto"/>
        <w:jc w:val="center"/>
        <w:rPr>
          <w:rFonts w:hint="eastAsia" w:ascii="仿宋_GB2312" w:hAnsi="宋体" w:eastAsia="仿宋_GB2312"/>
          <w:b/>
          <w:bCs w:val="0"/>
          <w:color w:val="auto"/>
          <w:sz w:val="28"/>
          <w:szCs w:val="28"/>
          <w:highlight w:val="none"/>
          <w:lang w:val="en-US" w:eastAsia="zh-CN"/>
        </w:rPr>
        <w:sectPr>
          <w:pgSz w:w="11906" w:h="16838"/>
          <w:pgMar w:top="1417" w:right="1417" w:bottom="1417" w:left="1417" w:header="851" w:footer="850" w:gutter="0"/>
          <w:pgNumType w:fmt="decimal"/>
          <w:cols w:space="720" w:num="1"/>
          <w:rtlGutter w:val="0"/>
          <w:docGrid w:type="lines" w:linePitch="312" w:charSpace="0"/>
        </w:sectPr>
      </w:pPr>
      <w:r>
        <w:rPr>
          <w:rFonts w:hint="eastAsia" w:ascii="仿宋_GB2312" w:hAnsi="宋体" w:eastAsia="仿宋_GB2312"/>
          <w:b/>
          <w:bCs w:val="0"/>
          <w:color w:val="auto"/>
          <w:sz w:val="28"/>
          <w:szCs w:val="28"/>
          <w:highlight w:val="none"/>
          <w:lang w:val="en-US" w:eastAsia="zh-CN"/>
        </w:rPr>
        <w:t>年月日</w:t>
      </w:r>
    </w:p>
    <w:p w14:paraId="2A6F01F6">
      <w:pPr>
        <w:spacing w:beforeLines="50" w:line="360" w:lineRule="auto"/>
        <w:jc w:val="center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第一部分  协议书</w:t>
      </w:r>
    </w:p>
    <w:p w14:paraId="2957D038">
      <w:pPr>
        <w:adjustRightInd w:val="0"/>
        <w:snapToGrid w:val="0"/>
        <w:spacing w:line="580" w:lineRule="exact"/>
        <w:ind w:firstLine="482" w:firstLineChars="200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采购人（全称）：</w:t>
      </w:r>
    </w:p>
    <w:p w14:paraId="781DFEA4">
      <w:pPr>
        <w:adjustRightInd w:val="0"/>
        <w:snapToGrid w:val="0"/>
        <w:spacing w:line="580" w:lineRule="exact"/>
        <w:ind w:firstLine="482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供应商（全称）：</w:t>
      </w:r>
    </w:p>
    <w:p w14:paraId="3AECC857">
      <w:pPr>
        <w:adjustRightInd w:val="0"/>
        <w:snapToGrid w:val="0"/>
        <w:spacing w:line="580" w:lineRule="exact"/>
        <w:ind w:firstLine="480" w:firstLineChars="200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根据《中华人民共和国民法典》</w:t>
      </w:r>
      <w:r>
        <w:rPr>
          <w:rFonts w:hint="eastAsia" w:ascii="宋体" w:hAnsi="宋体" w:eastAsia="宋体" w:cs="宋体"/>
          <w:highlight w:val="none"/>
          <w:lang w:eastAsia="zh-CN"/>
        </w:rPr>
        <w:t>、《</w:t>
      </w:r>
      <w:r>
        <w:rPr>
          <w:rFonts w:hint="eastAsia" w:ascii="宋体" w:hAnsi="宋体" w:eastAsia="宋体" w:cs="宋体"/>
          <w:highlight w:val="none"/>
          <w:lang w:val="en-US" w:eastAsia="zh-CN"/>
        </w:rPr>
        <w:t>中华人民共和国政府采购法</w:t>
      </w:r>
      <w:r>
        <w:rPr>
          <w:rFonts w:hint="eastAsia" w:ascii="宋体" w:hAnsi="宋体" w:eastAsia="宋体" w:cs="宋体"/>
          <w:highlight w:val="none"/>
          <w:lang w:eastAsia="zh-CN"/>
        </w:rPr>
        <w:t>》、《</w:t>
      </w:r>
      <w:r>
        <w:rPr>
          <w:rFonts w:hint="eastAsia" w:ascii="宋体" w:hAnsi="宋体" w:eastAsia="宋体" w:cs="宋体"/>
          <w:highlight w:val="none"/>
          <w:lang w:val="en-US" w:eastAsia="zh-CN"/>
        </w:rPr>
        <w:t>中华人民共和国政府采购法实施条例</w:t>
      </w:r>
      <w:r>
        <w:rPr>
          <w:rFonts w:hint="eastAsia" w:ascii="宋体" w:hAnsi="宋体" w:eastAsia="宋体" w:cs="宋体"/>
          <w:highlight w:val="none"/>
          <w:lang w:eastAsia="zh-CN"/>
        </w:rPr>
        <w:t>》</w:t>
      </w:r>
      <w:r>
        <w:rPr>
          <w:rFonts w:hint="eastAsia" w:ascii="宋体" w:hAnsi="宋体" w:eastAsia="宋体" w:cs="宋体"/>
          <w:highlight w:val="none"/>
        </w:rPr>
        <w:t>及其他有关法律、法规，遵循平等、自愿、公平和诚信的原则，双方就下述项目范围与相关服务事项协商一致，订立本合同。</w:t>
      </w:r>
    </w:p>
    <w:p w14:paraId="0358E5E8">
      <w:pPr>
        <w:spacing w:line="580" w:lineRule="exact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一、项目概况</w:t>
      </w:r>
    </w:p>
    <w:p w14:paraId="1814A550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1. 项目名称：</w:t>
      </w:r>
      <w:r>
        <w:rPr>
          <w:rFonts w:hint="eastAsia" w:hAnsi="宋体"/>
          <w:color w:val="auto"/>
          <w:szCs w:val="24"/>
          <w:highlight w:val="none"/>
          <w:lang w:eastAsia="zh-CN"/>
        </w:rPr>
        <w:t>县委党校新校区学员餐厅设备及空调设备采购项目</w:t>
      </w:r>
      <w:r>
        <w:rPr>
          <w:rFonts w:hint="eastAsia" w:ascii="宋体" w:hAnsi="宋体" w:eastAsia="宋体" w:cs="宋体"/>
          <w:highlight w:val="none"/>
        </w:rPr>
        <w:t>；</w:t>
      </w:r>
    </w:p>
    <w:p w14:paraId="73A4429D">
      <w:pPr>
        <w:adjustRightInd w:val="0"/>
        <w:snapToGrid w:val="0"/>
        <w:spacing w:line="580" w:lineRule="exact"/>
        <w:ind w:firstLine="475" w:firstLineChars="198"/>
        <w:rPr>
          <w:rFonts w:hint="default" w:ascii="宋体" w:hAnsi="宋体" w:eastAsia="宋体" w:cs="宋体"/>
          <w:highlight w:val="none"/>
          <w:lang w:val="en-US" w:eastAsia="zh-CN"/>
        </w:rPr>
      </w:pPr>
      <w:r>
        <w:rPr>
          <w:rFonts w:hint="eastAsia" w:hAnsi="宋体" w:cs="宋体"/>
          <w:highlight w:val="none"/>
          <w:lang w:val="en-US" w:eastAsia="zh-CN"/>
        </w:rPr>
        <w:t>2.合同包号：</w:t>
      </w:r>
    </w:p>
    <w:p w14:paraId="60ED8795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hAnsi="宋体" w:cs="宋体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highlight w:val="none"/>
        </w:rPr>
        <w:t>. 项目地点：</w:t>
      </w:r>
      <w:r>
        <w:rPr>
          <w:rFonts w:hint="default" w:ascii="宋体" w:hAnsi="宋体" w:eastAsia="宋体" w:cs="宋体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highlight w:val="none"/>
          <w:lang w:eastAsia="zh-CN"/>
        </w:rPr>
        <w:t>指定地点</w:t>
      </w:r>
      <w:r>
        <w:rPr>
          <w:rFonts w:hint="eastAsia" w:ascii="宋体" w:hAnsi="宋体" w:eastAsia="宋体" w:cs="宋体"/>
          <w:highlight w:val="none"/>
        </w:rPr>
        <w:t>；</w:t>
      </w:r>
    </w:p>
    <w:p w14:paraId="00137B61">
      <w:pPr>
        <w:spacing w:line="580" w:lineRule="exact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二、组成本合同的文件</w:t>
      </w:r>
    </w:p>
    <w:p w14:paraId="5B34EA3B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1. 协议书；</w:t>
      </w:r>
    </w:p>
    <w:p w14:paraId="4810EC40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2. </w:t>
      </w:r>
      <w:r>
        <w:rPr>
          <w:rFonts w:hint="eastAsia" w:ascii="宋体" w:hAnsi="宋体" w:eastAsia="宋体" w:cs="宋体"/>
          <w:highlight w:val="none"/>
          <w:lang w:eastAsia="zh-CN"/>
        </w:rPr>
        <w:t>成交通知书</w:t>
      </w:r>
      <w:r>
        <w:rPr>
          <w:rFonts w:hint="eastAsia" w:ascii="宋体" w:hAnsi="宋体" w:eastAsia="宋体" w:cs="宋体"/>
          <w:highlight w:val="none"/>
        </w:rPr>
        <w:t>、</w:t>
      </w:r>
      <w:r>
        <w:rPr>
          <w:rFonts w:hint="eastAsia" w:ascii="宋体" w:hAnsi="宋体" w:eastAsia="宋体" w:cs="宋体"/>
          <w:highlight w:val="none"/>
          <w:lang w:eastAsia="zh-CN"/>
        </w:rPr>
        <w:t>响应文件</w:t>
      </w:r>
      <w:r>
        <w:rPr>
          <w:rFonts w:hint="eastAsia" w:ascii="宋体" w:hAnsi="宋体" w:eastAsia="宋体" w:cs="宋体"/>
          <w:highlight w:val="none"/>
        </w:rPr>
        <w:t>、</w:t>
      </w:r>
      <w:r>
        <w:rPr>
          <w:rFonts w:hint="eastAsia" w:ascii="宋体" w:hAnsi="宋体" w:eastAsia="宋体" w:cs="宋体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highlight w:val="none"/>
        </w:rPr>
        <w:t>、澄清、</w:t>
      </w:r>
      <w:r>
        <w:rPr>
          <w:rFonts w:hint="eastAsia" w:ascii="宋体" w:hAnsi="宋体" w:eastAsia="宋体" w:cs="宋体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highlight w:val="none"/>
        </w:rPr>
        <w:t>补充文件；</w:t>
      </w:r>
    </w:p>
    <w:p w14:paraId="56D3FD8B">
      <w:pPr>
        <w:adjustRightInd w:val="0"/>
        <w:snapToGrid w:val="0"/>
        <w:spacing w:line="580" w:lineRule="exact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3. 相关服务建议书；</w:t>
      </w:r>
    </w:p>
    <w:p w14:paraId="5099C217">
      <w:pPr>
        <w:adjustRightInd w:val="0"/>
        <w:snapToGrid w:val="0"/>
        <w:spacing w:line="580" w:lineRule="exac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   4. 附录，即：附表内相关服务的范围和内容；</w:t>
      </w:r>
    </w:p>
    <w:p w14:paraId="27AC7A7C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本合同签订后，双方依法签订的补充协议也是本合同文件的组成部分。</w:t>
      </w:r>
      <w:bookmarkStart w:id="0" w:name="_GoBack"/>
      <w:bookmarkEnd w:id="0"/>
    </w:p>
    <w:p w14:paraId="226C762D">
      <w:pPr>
        <w:spacing w:line="580" w:lineRule="exact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三、合同金额</w:t>
      </w:r>
    </w:p>
    <w:p w14:paraId="62E46F1D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合同金额（大写）：（¥        ）。</w:t>
      </w:r>
    </w:p>
    <w:p w14:paraId="1E81ECAD">
      <w:pPr>
        <w:adjustRightInd w:val="0"/>
        <w:snapToGrid w:val="0"/>
        <w:spacing w:line="520" w:lineRule="exact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合同金额即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成交</w:t>
      </w:r>
      <w:r>
        <w:rPr>
          <w:rFonts w:hint="eastAsia" w:ascii="宋体" w:hAnsi="宋体" w:eastAsia="宋体" w:cs="宋体"/>
          <w:szCs w:val="24"/>
          <w:highlight w:val="none"/>
        </w:rPr>
        <w:t>价。合同价格为含税价，供应商（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成交供应商</w:t>
      </w:r>
      <w:r>
        <w:rPr>
          <w:rFonts w:hint="eastAsia" w:ascii="宋体" w:hAnsi="宋体" w:eastAsia="宋体" w:cs="宋体"/>
          <w:szCs w:val="24"/>
          <w:highlight w:val="none"/>
        </w:rPr>
        <w:t>）提供产品所发生的一切费用（包括增值税等相关税费）等都已包含于合同价款中。</w:t>
      </w:r>
    </w:p>
    <w:p w14:paraId="1A066803">
      <w:pPr>
        <w:adjustRightInd w:val="0"/>
        <w:snapToGrid w:val="0"/>
        <w:spacing w:line="520" w:lineRule="exact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四、结算方式</w:t>
      </w:r>
    </w:p>
    <w:p w14:paraId="699E03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textAlignment w:val="auto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ab/>
      </w:r>
      <w:r>
        <w:rPr>
          <w:rFonts w:hint="eastAsia" w:ascii="宋体" w:hAnsi="宋体" w:eastAsia="宋体" w:cs="宋体"/>
          <w:szCs w:val="24"/>
          <w:highlight w:val="none"/>
        </w:rPr>
        <w:t>1.结算单位：由采购人负责结算。</w:t>
      </w:r>
    </w:p>
    <w:p w14:paraId="10DFB9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20"/>
        <w:textAlignment w:val="auto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2.付款方式：银行转账</w:t>
      </w:r>
    </w:p>
    <w:p w14:paraId="4DBFED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本合同总金额共计：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元 。</w:t>
      </w:r>
    </w:p>
    <w:p w14:paraId="717CE3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（1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）合同签订后5个工作日内支付合同总价款的40%，安装调试完毕且验收合格后15日内一次性付清剩余合同总价款的60%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</w:t>
      </w:r>
    </w:p>
    <w:p w14:paraId="52525214">
      <w:pPr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）成交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单位承诺在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人办理以上各期付款的支付手续前，为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人出具等额的符合国家规定的发票。</w:t>
      </w:r>
    </w:p>
    <w:p w14:paraId="7828016F">
      <w:pPr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五、</w:t>
      </w:r>
      <w:r>
        <w:rPr>
          <w:rFonts w:hint="eastAsia" w:ascii="宋体" w:hAnsi="宋体" w:eastAsia="宋体" w:cs="宋体"/>
          <w:b/>
          <w:szCs w:val="24"/>
          <w:highlight w:val="none"/>
          <w:lang w:eastAsia="zh-CN"/>
        </w:rPr>
        <w:t>合同履行期</w:t>
      </w:r>
      <w:r>
        <w:rPr>
          <w:rFonts w:hint="eastAsia" w:ascii="宋体" w:hAnsi="宋体" w:eastAsia="宋体" w:cs="宋体"/>
          <w:b/>
          <w:szCs w:val="24"/>
          <w:highlight w:val="none"/>
        </w:rPr>
        <w:t>：</w:t>
      </w:r>
      <w:r>
        <w:rPr>
          <w:rFonts w:hint="default" w:ascii="宋体" w:hAnsi="宋体" w:eastAsia="宋体" w:cs="宋体"/>
          <w:sz w:val="24"/>
          <w:szCs w:val="24"/>
          <w:highlight w:val="none"/>
        </w:rPr>
        <w:t>合同签订生效后15个日历日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内供货并安装调试完毕,达到交付使用标准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。</w:t>
      </w:r>
    </w:p>
    <w:p w14:paraId="2F29AB69">
      <w:pPr>
        <w:tabs>
          <w:tab w:val="left" w:pos="840"/>
        </w:tabs>
        <w:spacing w:line="520" w:lineRule="exact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六、质保期：</w:t>
      </w:r>
      <w:r>
        <w:rPr>
          <w:rFonts w:hint="eastAsia" w:ascii="宋体" w:hAnsi="宋体" w:eastAsia="宋体" w:cs="宋体"/>
          <w:bCs/>
          <w:szCs w:val="24"/>
          <w:highlight w:val="none"/>
          <w:lang w:val="en-US" w:eastAsia="zh-CN"/>
        </w:rPr>
        <w:t>所有产品质保两年</w:t>
      </w:r>
      <w:r>
        <w:rPr>
          <w:rFonts w:hint="eastAsia" w:ascii="宋体" w:hAnsi="宋体" w:eastAsia="宋体" w:cs="宋体"/>
          <w:bCs/>
          <w:szCs w:val="24"/>
          <w:highlight w:val="none"/>
        </w:rPr>
        <w:t>，凡国家有规定的，优于</w:t>
      </w:r>
      <w:r>
        <w:rPr>
          <w:rFonts w:hint="eastAsia" w:ascii="宋体" w:hAnsi="宋体" w:eastAsia="宋体" w:cs="宋体"/>
          <w:bCs/>
          <w:szCs w:val="24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bCs/>
          <w:szCs w:val="24"/>
          <w:highlight w:val="none"/>
        </w:rPr>
        <w:t>要求的，按国家规定执行。</w:t>
      </w:r>
    </w:p>
    <w:p w14:paraId="7DF5E3E4">
      <w:pPr>
        <w:tabs>
          <w:tab w:val="left" w:pos="840"/>
        </w:tabs>
        <w:spacing w:line="520" w:lineRule="exact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七、内容及要求</w:t>
      </w:r>
    </w:p>
    <w:p w14:paraId="54B14094">
      <w:pPr>
        <w:tabs>
          <w:tab w:val="left" w:pos="840"/>
        </w:tabs>
        <w:spacing w:line="520" w:lineRule="exact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即交付的产品、服务内容、数量与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响应文件</w:t>
      </w:r>
      <w:r>
        <w:rPr>
          <w:rFonts w:hint="eastAsia" w:ascii="宋体" w:hAnsi="宋体" w:eastAsia="宋体" w:cs="宋体"/>
          <w:szCs w:val="24"/>
          <w:highlight w:val="none"/>
        </w:rPr>
        <w:t>、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szCs w:val="24"/>
          <w:highlight w:val="none"/>
        </w:rPr>
        <w:t>等所指明的，或者与本合同所指明的产品、服务内容相一致。（附清单）</w:t>
      </w:r>
    </w:p>
    <w:tbl>
      <w:tblPr>
        <w:tblStyle w:val="7"/>
        <w:tblW w:w="10705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75"/>
        <w:gridCol w:w="536"/>
        <w:gridCol w:w="797"/>
        <w:gridCol w:w="723"/>
        <w:gridCol w:w="1448"/>
        <w:gridCol w:w="1207"/>
        <w:gridCol w:w="1806"/>
        <w:gridCol w:w="960"/>
        <w:gridCol w:w="1175"/>
        <w:gridCol w:w="1178"/>
      </w:tblGrid>
      <w:tr w14:paraId="24CA94D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8" w:hRule="atLeast"/>
          <w:jc w:val="center"/>
        </w:trPr>
        <w:tc>
          <w:tcPr>
            <w:tcW w:w="87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A9C7CC0">
            <w:pPr>
              <w:spacing w:after="12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产品</w:t>
            </w:r>
          </w:p>
          <w:p w14:paraId="3B446685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费用</w:t>
            </w:r>
          </w:p>
        </w:tc>
        <w:tc>
          <w:tcPr>
            <w:tcW w:w="5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734B089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EE979C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名称</w:t>
            </w:r>
          </w:p>
        </w:tc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D1A772B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品牌</w:t>
            </w:r>
          </w:p>
        </w:tc>
        <w:tc>
          <w:tcPr>
            <w:tcW w:w="144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7B4F10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型号和规格</w:t>
            </w:r>
          </w:p>
        </w:tc>
        <w:tc>
          <w:tcPr>
            <w:tcW w:w="12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D33771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原产地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28E744">
            <w:pPr>
              <w:spacing w:beforeLines="50" w:after="120"/>
              <w:jc w:val="center"/>
              <w:rPr>
                <w:rFonts w:hint="eastAsia" w:ascii="宋体" w:hAnsi="宋体" w:eastAsia="宋体" w:cs="宋体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制造</w:t>
            </w:r>
            <w:r>
              <w:rPr>
                <w:rFonts w:hint="eastAsia" w:hAnsi="宋体" w:cs="宋体"/>
                <w:highlight w:val="none"/>
                <w:lang w:val="en-US" w:eastAsia="zh-CN"/>
              </w:rPr>
              <w:t>商</w:t>
            </w:r>
            <w:r>
              <w:rPr>
                <w:rFonts w:hint="eastAsia" w:ascii="宋体" w:hAnsi="宋体" w:eastAsia="宋体" w:cs="宋体"/>
                <w:highlight w:val="none"/>
              </w:rPr>
              <w:t>名</w:t>
            </w: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称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9269C6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数量</w:t>
            </w: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E8360D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单价</w:t>
            </w:r>
          </w:p>
          <w:p w14:paraId="1A8BF029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（元）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1C92CD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highlight w:val="none"/>
              </w:rPr>
              <w:t>总价</w:t>
            </w:r>
          </w:p>
          <w:p w14:paraId="0EF6C564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highlight w:val="none"/>
              </w:rPr>
              <w:t>（元）</w:t>
            </w:r>
          </w:p>
        </w:tc>
      </w:tr>
      <w:tr w14:paraId="6549834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A74411B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C884E62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1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1A5BBA2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9019C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4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65CBB26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F7CD5D0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3F72E7E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CC7462C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77B3A5F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FB9CF01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16B3814"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5160715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528014E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2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26BCA4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2A888C6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4E6811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C81707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A5D376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8E79C2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E84311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6324A3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91AED9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700EFDA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006F99AF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3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E83BF0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EDFFF73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D05C85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0B5B2A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8989D4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F0B64A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345AEF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9F763D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60F15B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275D185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0B44B76D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90002A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C1E6F69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2E8283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B3D6BF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6B489E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EA349A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DF6A75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DB22FB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B9F0E0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F11AC55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4DE36312">
            <w:pPr>
              <w:spacing w:beforeLines="100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AF3006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801A8E8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28601E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DD73EF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65AC6F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3B41AE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048466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4DE3B8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AC3344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220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ED4979F">
            <w:pPr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总价</w:t>
            </w:r>
          </w:p>
        </w:tc>
        <w:tc>
          <w:tcPr>
            <w:tcW w:w="8497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5DC57E">
            <w:pPr>
              <w:spacing w:beforeLines="5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大写：                           小写：</w:t>
            </w:r>
          </w:p>
        </w:tc>
      </w:tr>
      <w:tr w14:paraId="4C15A58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220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6C099B5">
            <w:pPr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备注</w:t>
            </w:r>
          </w:p>
        </w:tc>
        <w:tc>
          <w:tcPr>
            <w:tcW w:w="8497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7F5290">
            <w:pPr>
              <w:spacing w:beforeLines="50"/>
              <w:rPr>
                <w:rFonts w:hint="eastAsia" w:ascii="宋体" w:hAnsi="宋体" w:eastAsia="宋体" w:cs="宋体"/>
                <w:spacing w:val="-6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6"/>
                <w:szCs w:val="24"/>
                <w:highlight w:val="none"/>
              </w:rPr>
              <w:t>保留小数点后两位。</w:t>
            </w:r>
          </w:p>
        </w:tc>
      </w:tr>
    </w:tbl>
    <w:p w14:paraId="2B677D01">
      <w:pPr>
        <w:tabs>
          <w:tab w:val="left" w:pos="840"/>
        </w:tabs>
        <w:spacing w:line="520" w:lineRule="exact"/>
        <w:rPr>
          <w:rFonts w:hint="eastAsia" w:ascii="宋体" w:hAnsi="宋体" w:eastAsia="宋体" w:cs="宋体"/>
          <w:szCs w:val="24"/>
          <w:highlight w:val="none"/>
        </w:rPr>
      </w:pPr>
    </w:p>
    <w:p w14:paraId="18881AAE">
      <w:pPr>
        <w:spacing w:line="520" w:lineRule="exac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 xml:space="preserve">八、运输、安装、调试要求 </w:t>
      </w:r>
    </w:p>
    <w:p w14:paraId="26089E41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1、供应商根据产品特性，自行选择运输及包装方式，承担一切运输费用，包括从生产厂到采购人指定交货地点所需的装卸、运输（含保险费）及其他一切费用。</w:t>
      </w:r>
    </w:p>
    <w:p w14:paraId="35BA93BB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2、由供应商安装、调试及试运行的进度计划表。</w:t>
      </w:r>
    </w:p>
    <w:p w14:paraId="0B25145A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3、供应商应在合同规定的安装调试期内完成该项工作。如因供应商责任而造成延期，每超过一天按合同总价款的（1‰）支付采购人误期赔偿金，直至交货或提供服务结束为止，所有因延期而产生的费用由供应商承担。</w:t>
      </w:r>
    </w:p>
    <w:p w14:paraId="2D8ABDE8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4、安装和调试期间所发生的费用均由供应商负责。</w:t>
      </w:r>
    </w:p>
    <w:p w14:paraId="0A79E474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5、供应商应对安装调试、整改等实施过程的安全负责，如发生人身伤亡、财产损失的由供应商负责解决并承担全部责任。</w:t>
      </w:r>
    </w:p>
    <w:p w14:paraId="67EC96BE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6、对于需要计量的设备，供应商在设备安装调试后需向采购人提供该设备计量检定/校准报告等资料，由此产生的费用由供应商承担。</w:t>
      </w:r>
    </w:p>
    <w:p w14:paraId="50627902">
      <w:pPr>
        <w:spacing w:line="520" w:lineRule="exact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九、技术支持</w:t>
      </w:r>
    </w:p>
    <w:p w14:paraId="7D5AB34F">
      <w:pPr>
        <w:spacing w:line="520" w:lineRule="exact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、提供质保期内全年7×24小时的技术咨询服务，接到报修后2小时内响应；8小时内到达现场；故障排除时间小于12小时。供应商怠于或无法提供技术具备的，采购人有权委托第三方处理，由此产生的费用和后果由供应商负责，费用直接从应付款中扣除。供应商指定的项目总协调人必须是供应商公司管理层人员。因供应商的人员变更原因所造成的任何项目质量、进度滞后的后果，由供应商承担。</w:t>
      </w:r>
    </w:p>
    <w:p w14:paraId="7BF5604A">
      <w:pPr>
        <w:spacing w:line="520" w:lineRule="exact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2、供应商在项目实施过程中，质量保障人员、资源不足或者执行不力，给项目质量带来的风险超出采购人认定的允许范围时，采购人可终止本项目的合作并进行索赔。</w:t>
      </w:r>
    </w:p>
    <w:p w14:paraId="5182D9CD">
      <w:pPr>
        <w:spacing w:line="520" w:lineRule="exact"/>
        <w:rPr>
          <w:rFonts w:hint="eastAsia" w:ascii="宋体" w:hAnsi="宋体" w:eastAsia="宋体" w:cs="宋体"/>
          <w:b/>
          <w:bCs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highlight w:val="none"/>
        </w:rPr>
        <w:t>十、</w:t>
      </w:r>
      <w:r>
        <w:rPr>
          <w:rFonts w:hint="eastAsia" w:ascii="宋体" w:hAnsi="宋体" w:eastAsia="宋体" w:cs="宋体"/>
          <w:b/>
          <w:bCs/>
          <w:szCs w:val="24"/>
          <w:highlight w:val="none"/>
        </w:rPr>
        <w:t>技术培训</w:t>
      </w:r>
    </w:p>
    <w:p w14:paraId="679BDC7E">
      <w:pPr>
        <w:spacing w:line="520" w:lineRule="exact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  <w:lang w:eastAsia="zh-CN"/>
        </w:rPr>
        <w:t>成交单位</w:t>
      </w:r>
      <w:r>
        <w:rPr>
          <w:rFonts w:hint="eastAsia" w:ascii="宋体" w:hAnsi="宋体" w:eastAsia="宋体" w:cs="宋体"/>
          <w:szCs w:val="24"/>
          <w:highlight w:val="none"/>
        </w:rPr>
        <w:t>免费为采购人提供中文操作手册并培训操作人员，其中包括讲解产品的结构以及原理、产品的使用以及维护保养，直至操作人员能够独立的操作使用。培训产生的交通费、食宿费、培训费等均由供应商承担。</w:t>
      </w:r>
    </w:p>
    <w:p w14:paraId="34619261">
      <w:pPr>
        <w:spacing w:line="520" w:lineRule="exact"/>
        <w:rPr>
          <w:rFonts w:hint="eastAsia" w:ascii="宋体" w:hAnsi="宋体" w:eastAsia="宋体" w:cs="宋体"/>
          <w:b/>
          <w:bCs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Cs w:val="24"/>
          <w:highlight w:val="none"/>
        </w:rPr>
        <w:t>十一、技术资料要求</w:t>
      </w:r>
    </w:p>
    <w:p w14:paraId="7DF2AB54">
      <w:pPr>
        <w:spacing w:line="360" w:lineRule="auto"/>
        <w:ind w:firstLine="480" w:firstLineChars="200"/>
        <w:rPr>
          <w:rFonts w:hint="eastAsia"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供应商应向采购人提供全套中文技术资料一套，其费用包括在投标价格中：</w:t>
      </w:r>
    </w:p>
    <w:p w14:paraId="61C64201">
      <w:pPr>
        <w:spacing w:line="360" w:lineRule="auto"/>
        <w:ind w:firstLine="480" w:firstLineChars="200"/>
        <w:rPr>
          <w:rFonts w:hint="eastAsia"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1、完整的产品操作使用手册、说明书和维护、修理技术文件，图纸（线路图、原理图等）、保修卡等；</w:t>
      </w:r>
    </w:p>
    <w:p w14:paraId="61137F1E">
      <w:pPr>
        <w:spacing w:line="360" w:lineRule="auto"/>
        <w:ind w:firstLine="480" w:firstLineChars="200"/>
        <w:rPr>
          <w:rFonts w:hint="eastAsia"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2、制造厂的检验、测试报告、产品检验合格证书，质量保证书等文件验收时须一并提供；</w:t>
      </w:r>
    </w:p>
    <w:p w14:paraId="01FB92D6">
      <w:pPr>
        <w:ind w:firstLine="480" w:firstLineChars="200"/>
        <w:jc w:val="left"/>
        <w:rPr>
          <w:rFonts w:hint="eastAsia"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3、产品验收标准；</w:t>
      </w:r>
    </w:p>
    <w:p w14:paraId="75FF9AC1">
      <w:pPr>
        <w:spacing w:line="360" w:lineRule="auto"/>
        <w:ind w:firstLine="480" w:firstLineChars="200"/>
        <w:rPr>
          <w:rFonts w:hint="eastAsia"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4、技术说明书及必须的其它技术资料；</w:t>
      </w:r>
    </w:p>
    <w:p w14:paraId="6B2EB5D9">
      <w:pPr>
        <w:spacing w:line="360" w:lineRule="auto"/>
        <w:ind w:firstLine="480" w:firstLineChars="200"/>
        <w:rPr>
          <w:rFonts w:hint="eastAsia"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5、产品安装，调试、维修线路图及原理图；</w:t>
      </w:r>
    </w:p>
    <w:p w14:paraId="1CF90E62">
      <w:pPr>
        <w:spacing w:line="360" w:lineRule="auto"/>
        <w:ind w:firstLine="480" w:firstLineChars="200"/>
        <w:rPr>
          <w:rFonts w:hint="eastAsia"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6、零部件目录；</w:t>
      </w:r>
    </w:p>
    <w:p w14:paraId="2034E30F">
      <w:pPr>
        <w:spacing w:line="360" w:lineRule="auto"/>
        <w:ind w:firstLine="480" w:firstLineChars="200"/>
        <w:rPr>
          <w:rFonts w:hint="eastAsia"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7、备品备件、易损件清单；</w:t>
      </w:r>
    </w:p>
    <w:p w14:paraId="4900A89D">
      <w:pPr>
        <w:spacing w:line="360" w:lineRule="auto"/>
        <w:ind w:firstLine="480" w:firstLineChars="200"/>
        <w:rPr>
          <w:rFonts w:hint="eastAsia"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8、整体验收后提供验收报告；</w:t>
      </w:r>
    </w:p>
    <w:p w14:paraId="6052DDBA">
      <w:pPr>
        <w:spacing w:line="360" w:lineRule="auto"/>
        <w:ind w:firstLine="480" w:firstLineChars="200"/>
        <w:rPr>
          <w:rFonts w:hint="eastAsia"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9、合同中要求的其他文件资料；</w:t>
      </w:r>
    </w:p>
    <w:p w14:paraId="09A4ECFE">
      <w:pPr>
        <w:spacing w:line="360" w:lineRule="auto"/>
        <w:ind w:firstLine="480" w:firstLineChars="200"/>
        <w:rPr>
          <w:rFonts w:hint="eastAsia"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10、检定/校准报告。</w:t>
      </w:r>
    </w:p>
    <w:p w14:paraId="28DD6878">
      <w:pPr>
        <w:spacing w:line="520" w:lineRule="exact"/>
        <w:rPr>
          <w:rFonts w:hint="eastAsia" w:ascii="宋体" w:hAnsi="宋体" w:eastAsia="宋体" w:cs="宋体"/>
          <w:b/>
          <w:bCs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Cs w:val="24"/>
          <w:highlight w:val="none"/>
        </w:rPr>
        <w:t>十二、质量保证</w:t>
      </w:r>
    </w:p>
    <w:p w14:paraId="3CA3CE01">
      <w:pPr>
        <w:spacing w:line="520" w:lineRule="exact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1、供应商</w:t>
      </w:r>
      <w:r>
        <w:rPr>
          <w:rFonts w:hint="eastAsia" w:ascii="宋体" w:hAnsi="宋体" w:eastAsia="宋体" w:cs="宋体"/>
          <w:highlight w:val="none"/>
        </w:rPr>
        <w:t>提供的</w:t>
      </w:r>
      <w:r>
        <w:rPr>
          <w:rFonts w:hint="eastAsia" w:ascii="宋体" w:hAnsi="宋体" w:eastAsia="宋体" w:cs="宋体"/>
          <w:szCs w:val="24"/>
          <w:highlight w:val="none"/>
        </w:rPr>
        <w:t>产品</w:t>
      </w:r>
      <w:r>
        <w:rPr>
          <w:rFonts w:hint="eastAsia" w:ascii="宋体" w:hAnsi="宋体" w:eastAsia="宋体" w:cs="宋体"/>
          <w:highlight w:val="none"/>
        </w:rPr>
        <w:t>及材料必须保证质量可靠，为市场最新或主流</w:t>
      </w:r>
      <w:r>
        <w:rPr>
          <w:rFonts w:hint="eastAsia" w:ascii="宋体" w:hAnsi="宋体" w:eastAsia="宋体" w:cs="宋体"/>
          <w:szCs w:val="24"/>
          <w:highlight w:val="none"/>
        </w:rPr>
        <w:t>产品</w:t>
      </w:r>
      <w:r>
        <w:rPr>
          <w:rFonts w:hint="eastAsia" w:ascii="宋体" w:hAnsi="宋体" w:eastAsia="宋体" w:cs="宋体"/>
          <w:highlight w:val="none"/>
        </w:rPr>
        <w:t>，进货渠道正常，配置合理齐全，应全面满足</w:t>
      </w:r>
      <w:r>
        <w:rPr>
          <w:rFonts w:hint="eastAsia" w:ascii="宋体" w:hAnsi="宋体" w:eastAsia="宋体" w:cs="宋体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highlight w:val="none"/>
        </w:rPr>
        <w:t>的要求，</w:t>
      </w:r>
      <w:r>
        <w:rPr>
          <w:rFonts w:hint="eastAsia" w:ascii="宋体" w:hAnsi="宋体" w:eastAsia="宋体" w:cs="宋体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highlight w:val="none"/>
        </w:rPr>
        <w:t>未明确要求的内容，供应商须按采购</w:t>
      </w:r>
      <w:r>
        <w:rPr>
          <w:rFonts w:hint="eastAsia" w:ascii="宋体" w:hAnsi="宋体" w:eastAsia="宋体" w:cs="宋体"/>
          <w:szCs w:val="24"/>
          <w:highlight w:val="none"/>
        </w:rPr>
        <w:t>产品</w:t>
      </w:r>
      <w:r>
        <w:rPr>
          <w:rFonts w:hint="eastAsia" w:ascii="宋体" w:hAnsi="宋体" w:eastAsia="宋体" w:cs="宋体"/>
          <w:highlight w:val="none"/>
        </w:rPr>
        <w:t>主流标准配置或以采购人的补充要求为准。所供产品工艺质量应严格按国家最新发布的规范标准执行，如发生质量问题由供应商承担全部责任。</w:t>
      </w:r>
    </w:p>
    <w:p w14:paraId="2C3538BF">
      <w:pPr>
        <w:spacing w:line="520" w:lineRule="exact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2、供应商应保证所有产品的完好无损包括配套包装，如有缺漏、损坏，由供应商负责调换、补齐或赔偿。</w:t>
      </w:r>
    </w:p>
    <w:p w14:paraId="5C6BD2E6">
      <w:pPr>
        <w:spacing w:line="360" w:lineRule="auto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3、采购人使用产品过程中因产品质量、产品缺陷及安装质量等造成人身伤亡、财产损失的，由供应商负责解决并承担全部责任。</w:t>
      </w:r>
    </w:p>
    <w:p w14:paraId="2A380853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4、质保期内每月至少一次免费上门维护，回访。</w:t>
      </w:r>
    </w:p>
    <w:p w14:paraId="4AAF218F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5、对于存在质量问题或者短少的产品，供应商应在接到采购人的通知2个日历日内负责修复，调换、重新制作或补齐。</w:t>
      </w:r>
    </w:p>
    <w:p w14:paraId="5EA677F8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6、在最终验收后的质量保证期内，供应商应对设计、工艺或材料等的缺陷而产生的故障负责（负责解决并承担全部费用）。质保期满后如出现此类问题亦应负责。</w:t>
      </w:r>
    </w:p>
    <w:p w14:paraId="3CCCC3FD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7、供应商及所投产品的生产厂商应承诺质保期、维保期的售后服务条款（包括具体的服务内容、故障响应时间、响应方式、维修措施及时限、维护响应计划等方面），未提供任何质保期、维保期的售后服务条款或提供的内容不实的以不实质性满足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szCs w:val="24"/>
          <w:highlight w:val="none"/>
        </w:rPr>
        <w:t>要求对待。</w:t>
      </w:r>
    </w:p>
    <w:p w14:paraId="762C4185">
      <w:pPr>
        <w:spacing w:line="520" w:lineRule="exact"/>
        <w:ind w:firstLine="480" w:firstLineChars="200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8、</w:t>
      </w:r>
      <w:r>
        <w:rPr>
          <w:rFonts w:hint="eastAsia" w:ascii="宋体" w:hAnsi="宋体" w:eastAsia="宋体" w:cs="宋体"/>
          <w:highlight w:val="none"/>
        </w:rPr>
        <w:t>对于未按约定提供质保服务的供应商或违约的供应商，采购人将拒绝其参加采购人单位的政府采购项目。且采购人有权委托第三方进行维修，所产生的费用由供应商承担，采购人有权从</w:t>
      </w:r>
      <w:r>
        <w:rPr>
          <w:rFonts w:hint="eastAsia" w:ascii="宋体" w:hAnsi="宋体" w:eastAsia="宋体" w:cs="宋体"/>
          <w:highlight w:val="none"/>
          <w:lang w:val="en-US" w:eastAsia="zh-CN"/>
        </w:rPr>
        <w:t>应付款项</w:t>
      </w:r>
      <w:r>
        <w:rPr>
          <w:rFonts w:hint="eastAsia" w:ascii="宋体" w:hAnsi="宋体" w:eastAsia="宋体" w:cs="宋体"/>
          <w:highlight w:val="none"/>
        </w:rPr>
        <w:t>中直接扣除，不足部分应由供应商支付。</w:t>
      </w:r>
    </w:p>
    <w:p w14:paraId="50132E1E">
      <w:pPr>
        <w:spacing w:line="520" w:lineRule="exact"/>
        <w:rPr>
          <w:rFonts w:hint="eastAsia" w:ascii="宋体" w:hAnsi="宋体" w:eastAsia="宋体" w:cs="宋体"/>
          <w:b/>
          <w:bCs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highlight w:val="none"/>
        </w:rPr>
        <w:t>十三、</w:t>
      </w:r>
      <w:r>
        <w:rPr>
          <w:rFonts w:hint="eastAsia" w:ascii="宋体" w:hAnsi="宋体" w:eastAsia="宋体" w:cs="宋体"/>
          <w:b/>
          <w:bCs/>
          <w:szCs w:val="24"/>
          <w:highlight w:val="none"/>
        </w:rPr>
        <w:t>验收</w:t>
      </w:r>
    </w:p>
    <w:p w14:paraId="66E9D543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1.初验：货物到达交货地点后，由使用单位根据合同对货物（设备）的名称、品牌、规格、型号、产地、数量进行检查。初验合格填写项目移交单，双方签字盖章。</w:t>
      </w:r>
    </w:p>
    <w:p w14:paraId="4D52DEF4">
      <w:pPr>
        <w:spacing w:line="360" w:lineRule="auto"/>
        <w:ind w:firstLine="480" w:firstLineChars="200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2.终验：所有货物(设备)安装、调试完毕，正常使用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10天</w:t>
      </w:r>
      <w:r>
        <w:rPr>
          <w:rFonts w:hint="eastAsia" w:ascii="宋体" w:hAnsi="宋体" w:eastAsia="宋体" w:cs="宋体"/>
          <w:szCs w:val="24"/>
          <w:highlight w:val="none"/>
        </w:rPr>
        <w:t>后，由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成交供应商</w:t>
      </w:r>
      <w:r>
        <w:rPr>
          <w:rFonts w:hint="eastAsia" w:ascii="宋体" w:hAnsi="宋体" w:eastAsia="宋体" w:cs="宋体"/>
          <w:szCs w:val="24"/>
          <w:highlight w:val="none"/>
        </w:rPr>
        <w:t>向采购人提出终验书面申请，采购人确认后，组织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成交供应商</w:t>
      </w:r>
      <w:r>
        <w:rPr>
          <w:rFonts w:hint="eastAsia" w:ascii="宋体" w:hAnsi="宋体" w:eastAsia="宋体" w:cs="宋体"/>
          <w:szCs w:val="24"/>
          <w:highlight w:val="none"/>
        </w:rPr>
        <w:t>、有关专家及相关部门进行系统验收，并出具终验报告，验收及专家费用由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成交供应商</w:t>
      </w:r>
      <w:r>
        <w:rPr>
          <w:rFonts w:hint="eastAsia" w:ascii="宋体" w:hAnsi="宋体" w:eastAsia="宋体" w:cs="宋体"/>
          <w:szCs w:val="24"/>
          <w:highlight w:val="none"/>
        </w:rPr>
        <w:t>承担。验收合格后填写《政府采购项目验收单》。</w:t>
      </w:r>
    </w:p>
    <w:p w14:paraId="30E3E09E">
      <w:pPr>
        <w:spacing w:line="520" w:lineRule="exact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十四、保密</w:t>
      </w:r>
    </w:p>
    <w:p w14:paraId="2096F5E4">
      <w:pPr>
        <w:tabs>
          <w:tab w:val="left" w:pos="1080"/>
        </w:tabs>
        <w:spacing w:line="520" w:lineRule="exact"/>
        <w:ind w:firstLine="360" w:firstLineChars="15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 xml:space="preserve"> 对工作中了解到的采购人的技术、机密以及采集的居民信息数据等进行严格保密，不得向他人泄漏。本合同的解除或终止不免除供应商应承担的保密义务。</w:t>
      </w:r>
    </w:p>
    <w:p w14:paraId="50EC0071">
      <w:pPr>
        <w:spacing w:line="520" w:lineRule="exact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十五、知识产权</w:t>
      </w:r>
    </w:p>
    <w:p w14:paraId="6BD2E7BF">
      <w:pPr>
        <w:spacing w:line="520" w:lineRule="exact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 xml:space="preserve">    供应商应对所供产品具有或已取得合法知识产权，供应商应保证所供产品及服务不会出现因第三方提出侵犯其专利权、商标权或其它知识产权而引发法律或经济纠纷，否则由供应商负责解决并承担全部责任；如因此影响到采购人的正常使用，采购人有权单方解除本合同，供应商应无条件向采购人退回已收取的全部合同价款，给采购人造成损失的，由供应商一并赔偿。</w:t>
      </w:r>
    </w:p>
    <w:p w14:paraId="40407312">
      <w:pPr>
        <w:spacing w:line="520" w:lineRule="exact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十六、合同争议的解决</w:t>
      </w:r>
    </w:p>
    <w:p w14:paraId="0FDF8D49">
      <w:pPr>
        <w:spacing w:line="520" w:lineRule="exact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 xml:space="preserve">    合同执行中发生争议的，当事人双方应协商解决。协商达不成一致时，可向当地行政仲裁机关申请仲裁或者向人民法院提请诉讼。</w:t>
      </w:r>
    </w:p>
    <w:p w14:paraId="4B17175E">
      <w:pPr>
        <w:numPr>
          <w:ilvl w:val="0"/>
          <w:numId w:val="1"/>
        </w:numPr>
        <w:spacing w:line="520" w:lineRule="exact"/>
        <w:jc w:val="left"/>
        <w:rPr>
          <w:rFonts w:hint="eastAsia" w:ascii="宋体" w:hAnsi="宋体" w:eastAsia="宋体" w:cs="宋体"/>
          <w:b/>
          <w:bCs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Cs w:val="24"/>
          <w:highlight w:val="none"/>
        </w:rPr>
        <w:t>不可抗力情况下的免责约定</w:t>
      </w:r>
    </w:p>
    <w:p w14:paraId="21AADAA3">
      <w:pPr>
        <w:spacing w:line="520" w:lineRule="exact"/>
        <w:jc w:val="left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双方约定不可抗力情况指：双方不可预见、不可避免、不可克服的客观情况，但不包括双方的违约或疏忽。这些事件包括但不限于：战争、严重火灾、洪水、台风、地震、疫情等。</w:t>
      </w:r>
    </w:p>
    <w:p w14:paraId="7B0B66B1">
      <w:pPr>
        <w:numPr>
          <w:ilvl w:val="0"/>
          <w:numId w:val="1"/>
        </w:numPr>
        <w:spacing w:line="520" w:lineRule="exact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违约责任</w:t>
      </w:r>
    </w:p>
    <w:p w14:paraId="5DCEB8FC">
      <w:pPr>
        <w:spacing w:line="520" w:lineRule="exact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 xml:space="preserve">    依据《中华人民共和国民法典》、《中华人民共和国政府采购法》、《中华人民共和国政府采购法实施条例》的相关条款和本合同约定，中标供应商未全面履行合同义务或者发生违约，采购单位会同采购代理机构有权终止合同，依法向中标供应商进行经济索赔，并报请政府采购监督管理机关进行相应的行政处罚。采购单位违约的，应当赔偿给中标供应商造成的经济损失。</w:t>
      </w:r>
    </w:p>
    <w:p w14:paraId="409688A9">
      <w:pPr>
        <w:spacing w:line="520" w:lineRule="exact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十九、其他（</w:t>
      </w:r>
      <w:r>
        <w:rPr>
          <w:rFonts w:hint="eastAsia" w:ascii="宋体" w:hAnsi="宋体" w:eastAsia="宋体" w:cs="宋体"/>
          <w:szCs w:val="24"/>
          <w:highlight w:val="none"/>
        </w:rPr>
        <w:t>在合同中具体明确）</w:t>
      </w:r>
    </w:p>
    <w:p w14:paraId="6399EB7E">
      <w:pPr>
        <w:spacing w:line="580" w:lineRule="exact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二十、合同订立</w:t>
      </w:r>
    </w:p>
    <w:p w14:paraId="56B8AC0B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1. 订立时间：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highlight w:val="none"/>
        </w:rPr>
        <w:t>年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highlight w:val="none"/>
        </w:rPr>
        <w:t>日。</w:t>
      </w:r>
    </w:p>
    <w:p w14:paraId="0F59E643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2. 订立地点：。</w:t>
      </w:r>
    </w:p>
    <w:p w14:paraId="4D707C9D">
      <w:pPr>
        <w:tabs>
          <w:tab w:val="left" w:pos="980"/>
        </w:tabs>
        <w:kinsoku w:val="0"/>
        <w:spacing w:line="580" w:lineRule="exact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3. 本合同一式</w:t>
      </w:r>
      <w:r>
        <w:rPr>
          <w:rFonts w:hint="eastAsia" w:ascii="宋体" w:hAnsi="宋体" w:eastAsia="宋体" w:cs="宋体"/>
          <w:highlight w:val="none"/>
          <w:lang w:val="en-US" w:eastAsia="zh-CN"/>
        </w:rPr>
        <w:t>肆</w:t>
      </w:r>
      <w:r>
        <w:rPr>
          <w:rFonts w:hint="eastAsia" w:ascii="宋体" w:hAnsi="宋体" w:eastAsia="宋体" w:cs="宋体"/>
          <w:highlight w:val="none"/>
        </w:rPr>
        <w:t>份，具有同等法律效力，双方各执</w:t>
      </w:r>
      <w:r>
        <w:rPr>
          <w:rFonts w:hint="eastAsia" w:ascii="宋体" w:hAnsi="宋体" w:eastAsia="宋体" w:cs="宋体"/>
          <w:highlight w:val="none"/>
          <w:u w:val="single"/>
        </w:rPr>
        <w:t>贰</w:t>
      </w:r>
      <w:r>
        <w:rPr>
          <w:rFonts w:hint="eastAsia" w:ascii="宋体" w:hAnsi="宋体" w:eastAsia="宋体" w:cs="宋体"/>
          <w:highlight w:val="none"/>
        </w:rPr>
        <w:t>份。各方签字盖章后生效，合同执行完毕自动失效。（合同的服务承诺则长期有效）。</w:t>
      </w:r>
    </w:p>
    <w:p w14:paraId="582AABFD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  <w:highlight w:val="none"/>
        </w:rPr>
      </w:pPr>
    </w:p>
    <w:p w14:paraId="51EC6384">
      <w:pPr>
        <w:pStyle w:val="6"/>
        <w:jc w:val="center"/>
        <w:rPr>
          <w:rFonts w:hint="eastAsia" w:eastAsia="宋体"/>
          <w:highlight w:val="none"/>
          <w:lang w:eastAsia="zh-CN"/>
        </w:rPr>
        <w:sectPr>
          <w:footerReference r:id="rId3" w:type="default"/>
          <w:pgSz w:w="11906" w:h="16838"/>
          <w:pgMar w:top="1417" w:right="1417" w:bottom="1417" w:left="1417" w:header="851" w:footer="850" w:gutter="0"/>
          <w:pgNumType w:fmt="decimal" w:start="1"/>
          <w:cols w:space="720" w:num="1"/>
          <w:rtlGutter w:val="0"/>
          <w:docGrid w:type="lines" w:linePitch="312" w:charSpace="0"/>
        </w:sectPr>
      </w:pPr>
      <w:r>
        <w:rPr>
          <w:rFonts w:hint="eastAsia" w:ascii="宋体" w:hAnsi="宋体" w:eastAsia="宋体" w:cs="宋体"/>
          <w:highlight w:val="none"/>
          <w:lang w:eastAsia="zh-CN"/>
        </w:rPr>
        <w:t>（以下为签字盖章页）</w:t>
      </w:r>
    </w:p>
    <w:p w14:paraId="4F12BCBC">
      <w:pPr>
        <w:pStyle w:val="6"/>
        <w:rPr>
          <w:rFonts w:hint="eastAsia"/>
          <w:highlight w:val="none"/>
        </w:rPr>
      </w:pPr>
    </w:p>
    <w:p w14:paraId="0E3CE330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采购人：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（盖章）      </w:t>
      </w:r>
      <w:r>
        <w:rPr>
          <w:rFonts w:hint="eastAsia" w:ascii="宋体" w:hAnsi="宋体" w:eastAsia="宋体" w:cs="宋体"/>
          <w:highlight w:val="none"/>
        </w:rPr>
        <w:t xml:space="preserve">            供应商：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（盖章）         </w:t>
      </w:r>
    </w:p>
    <w:p w14:paraId="582E9F92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 xml:space="preserve">地 址：           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highlight w:val="none"/>
        </w:rPr>
        <w:t xml:space="preserve"> 地  址：</w:t>
      </w:r>
    </w:p>
    <w:p w14:paraId="29D5163A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邮政编码：          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highlight w:val="none"/>
        </w:rPr>
        <w:t>邮政编码：</w:t>
      </w:r>
    </w:p>
    <w:p w14:paraId="3782088B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法定代表人或其授权                   法定代表人或其授权 </w:t>
      </w:r>
    </w:p>
    <w:p w14:paraId="238461A8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的代理人：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（签字）      </w:t>
      </w:r>
      <w:r>
        <w:rPr>
          <w:rFonts w:hint="eastAsia" w:ascii="宋体" w:hAnsi="宋体" w:eastAsia="宋体" w:cs="宋体"/>
          <w:highlight w:val="none"/>
        </w:rPr>
        <w:t xml:space="preserve">             的代理人：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（签字）           </w:t>
      </w:r>
    </w:p>
    <w:p w14:paraId="050DBD4E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开户银行：        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highlight w:val="none"/>
        </w:rPr>
        <w:t xml:space="preserve">  开户银行：</w:t>
      </w:r>
    </w:p>
    <w:p w14:paraId="5A133357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账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highlight w:val="none"/>
        </w:rPr>
        <w:t xml:space="preserve">号：       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highlight w:val="none"/>
        </w:rPr>
        <w:t xml:space="preserve">  账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highlight w:val="none"/>
        </w:rPr>
        <w:t>号：</w:t>
      </w:r>
    </w:p>
    <w:p w14:paraId="03694B56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电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highlight w:val="none"/>
        </w:rPr>
        <w:t xml:space="preserve">话：      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highlight w:val="none"/>
        </w:rPr>
        <w:t xml:space="preserve"> 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highlight w:val="none"/>
        </w:rPr>
        <w:t xml:space="preserve">  电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highlight w:val="none"/>
        </w:rPr>
        <w:t>话：</w:t>
      </w:r>
    </w:p>
    <w:p w14:paraId="1F8D64FB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传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highlight w:val="none"/>
        </w:rPr>
        <w:t xml:space="preserve">真：         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highlight w:val="none"/>
        </w:rPr>
        <w:t>传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highlight w:val="none"/>
        </w:rPr>
        <w:t>真：</w:t>
      </w:r>
    </w:p>
    <w:p w14:paraId="69AD4A2D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电子邮箱：        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highlight w:val="none"/>
        </w:rPr>
        <w:t xml:space="preserve"> 电子邮箱：</w:t>
      </w:r>
    </w:p>
    <w:p w14:paraId="51B82AEE">
      <w:pPr>
        <w:adjustRightInd w:val="0"/>
        <w:snapToGrid w:val="0"/>
        <w:spacing w:line="360" w:lineRule="auto"/>
        <w:ind w:firstLine="475" w:firstLineChars="198"/>
        <w:rPr>
          <w:rFonts w:hint="eastAsia" w:hAnsi="宋体"/>
          <w:color w:val="auto"/>
          <w:szCs w:val="24"/>
          <w:highlight w:val="none"/>
          <w:u w:val="single"/>
        </w:rPr>
      </w:pPr>
    </w:p>
    <w:p w14:paraId="7E617B8A">
      <w:pPr>
        <w:adjustRightInd w:val="0"/>
        <w:snapToGrid w:val="0"/>
        <w:spacing w:line="400" w:lineRule="exact"/>
        <w:ind w:firstLine="475" w:firstLineChars="198"/>
        <w:rPr>
          <w:rFonts w:hint="eastAsia" w:ascii="宋体" w:hAnsi="宋体" w:eastAsia="宋体" w:cs="宋体"/>
          <w:color w:val="auto"/>
          <w:szCs w:val="22"/>
          <w:highlight w:val="none"/>
          <w:lang w:val="en-US" w:eastAsia="zh-CN"/>
        </w:rPr>
      </w:pPr>
    </w:p>
    <w:p w14:paraId="27ED629C"/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1CA112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B9E272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7B9E272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490119"/>
    <w:multiLevelType w:val="singleLevel"/>
    <w:tmpl w:val="58490119"/>
    <w:lvl w:ilvl="0" w:tentative="0">
      <w:start w:val="17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4F4FD8"/>
    <w:rsid w:val="19B6307B"/>
    <w:rsid w:val="4A160F60"/>
    <w:rsid w:val="7BE9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3">
    <w:name w:val="envelope return"/>
    <w:basedOn w:val="1"/>
    <w:qFormat/>
    <w:uiPriority w:val="0"/>
    <w:pPr>
      <w:snapToGrid w:val="0"/>
    </w:pPr>
    <w:rPr>
      <w:rFonts w:ascii="Arial" w:hAnsi="Arial" w:eastAsia="宋体" w:cs="Times New Roman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Body Text First Indent 2"/>
    <w:basedOn w:val="2"/>
    <w:unhideWhenUsed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2025-03-30T06:06:49Z</dcterms:created>
  <dc:creator>夏夏</dc:creator>
  <cp:lastModifiedBy>人海中有你</cp:lastModifiedBy>
  <dcterms:modified xsi:type="dcterms:W3CDTF">2025-03-30T06:09:47Z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eyJoZGlkIjoiYTE0NDIyOWJiNWJlN2E5NzNjNGQwYWIyMzcxMDE3ZGYiLCJ1c2VySWQiOiIyMjcyODg4NDcifQ==</vt:lpwstr>
  </property>
  <property fmtid="{D5CDD505-2E9C-101B-9397-08002B2CF9AE}" pid="4" name="ICV">
    <vt:lpwstr>F99BD31EA1BD43898C6A286DA2EE9282_12</vt:lpwstr>
  </property>
</Properties>
</file>