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F9370">
      <w:pPr>
        <w:rPr>
          <w:u w:val="single"/>
        </w:rPr>
      </w:pPr>
      <w:bookmarkStart w:id="0" w:name="_Toc28022"/>
      <w:bookmarkEnd w:id="0"/>
      <w:bookmarkStart w:id="1" w:name="_Toc94"/>
      <w:bookmarkEnd w:id="1"/>
      <w:bookmarkStart w:id="2" w:name="_Toc14306"/>
      <w:bookmarkEnd w:id="2"/>
      <w:bookmarkStart w:id="3" w:name="_Toc11510"/>
      <w:bookmarkEnd w:id="3"/>
      <w:r>
        <w:rPr>
          <w:rFonts w:hint="eastAsia"/>
          <w:szCs w:val="21"/>
        </w:rPr>
        <w:t>项目编号</w:t>
      </w:r>
      <w:r>
        <w:rPr>
          <w:rFonts w:hint="eastAsia"/>
        </w:rPr>
        <w:t>：</w:t>
      </w:r>
      <w:r>
        <w:rPr>
          <w:rFonts w:hint="eastAsia"/>
          <w:u w:val="single"/>
        </w:rPr>
        <w:t xml:space="preserve">          </w:t>
      </w:r>
      <w:r>
        <w:rPr>
          <w:rFonts w:hint="eastAsia"/>
          <w:b/>
        </w:rPr>
        <w:t xml:space="preserve">   </w:t>
      </w:r>
      <w:r>
        <w:rPr>
          <w:rFonts w:hint="eastAsia"/>
        </w:rPr>
        <w:t xml:space="preserve">   </w:t>
      </w:r>
    </w:p>
    <w:p w14:paraId="5ED2BBEE"/>
    <w:p w14:paraId="28B4E688"/>
    <w:p w14:paraId="29F8C995"/>
    <w:p w14:paraId="75461180"/>
    <w:p w14:paraId="118635F2">
      <w:pPr>
        <w:jc w:val="center"/>
        <w:rPr>
          <w:rFonts w:hint="eastAsia" w:eastAsia="宋体"/>
          <w:b/>
          <w:bCs/>
          <w:sz w:val="84"/>
          <w:szCs w:val="84"/>
          <w:lang w:eastAsia="zh-CN"/>
        </w:rPr>
      </w:pPr>
      <w:r>
        <w:rPr>
          <w:rFonts w:hint="eastAsia"/>
          <w:b/>
          <w:bCs/>
          <w:sz w:val="84"/>
          <w:szCs w:val="84"/>
        </w:rPr>
        <w:t>合 同 书</w:t>
      </w:r>
      <w:r>
        <w:rPr>
          <w:rFonts w:hint="eastAsia"/>
          <w:b/>
          <w:bCs/>
          <w:sz w:val="84"/>
          <w:szCs w:val="84"/>
          <w:lang w:eastAsia="zh-CN"/>
        </w:rPr>
        <w:t>（</w:t>
      </w:r>
      <w:r>
        <w:rPr>
          <w:rFonts w:hint="eastAsia"/>
          <w:b/>
          <w:bCs/>
          <w:sz w:val="84"/>
          <w:szCs w:val="84"/>
          <w:lang w:val="en-US" w:eastAsia="zh-CN"/>
        </w:rPr>
        <w:t>车辆</w:t>
      </w:r>
      <w:r>
        <w:rPr>
          <w:rFonts w:hint="eastAsia"/>
          <w:b/>
          <w:bCs/>
          <w:sz w:val="84"/>
          <w:szCs w:val="84"/>
          <w:lang w:eastAsia="zh-CN"/>
        </w:rPr>
        <w:t>）</w:t>
      </w:r>
    </w:p>
    <w:p w14:paraId="7D75CF16">
      <w:pPr>
        <w:widowControl/>
        <w:spacing w:line="360" w:lineRule="auto"/>
        <w:jc w:val="center"/>
        <w:rPr>
          <w:rFonts w:cs="宋体" w:asciiTheme="minorEastAsia" w:hAnsiTheme="minorEastAsia" w:eastAsiaTheme="minorEastAsia"/>
          <w:b/>
          <w:sz w:val="36"/>
          <w:szCs w:val="36"/>
          <w:u w:val="single"/>
        </w:rPr>
      </w:pPr>
    </w:p>
    <w:p w14:paraId="4A7F09F4">
      <w:pPr>
        <w:widowControl/>
        <w:spacing w:line="360" w:lineRule="auto"/>
        <w:jc w:val="center"/>
        <w:rPr>
          <w:rFonts w:cs="宋体" w:asciiTheme="minorEastAsia" w:hAnsiTheme="minorEastAsia" w:eastAsiaTheme="minorEastAsia"/>
          <w:b/>
          <w:sz w:val="36"/>
          <w:szCs w:val="36"/>
          <w:u w:val="single"/>
        </w:rPr>
      </w:pPr>
    </w:p>
    <w:p w14:paraId="0AC42545">
      <w:pPr>
        <w:widowControl/>
        <w:spacing w:line="360" w:lineRule="auto"/>
        <w:jc w:val="center"/>
        <w:rPr>
          <w:rFonts w:cs="宋体" w:asciiTheme="minorEastAsia" w:hAnsiTheme="minorEastAsia" w:eastAsiaTheme="minorEastAsia"/>
          <w:b/>
          <w:sz w:val="36"/>
          <w:szCs w:val="36"/>
          <w:u w:val="single"/>
        </w:rPr>
      </w:pPr>
    </w:p>
    <w:p w14:paraId="7300C8AE">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项目名称：</w:t>
      </w:r>
      <w:r>
        <w:rPr>
          <w:rFonts w:hint="eastAsia" w:cs="宋体" w:asciiTheme="minorEastAsia" w:hAnsiTheme="minorEastAsia" w:eastAsiaTheme="minorEastAsia"/>
          <w:bCs/>
          <w:sz w:val="32"/>
          <w:szCs w:val="32"/>
          <w:u w:val="single"/>
        </w:rPr>
        <w:t xml:space="preserve">                                </w:t>
      </w:r>
      <w:r>
        <w:rPr>
          <w:rFonts w:hint="eastAsia" w:cs="宋体" w:asciiTheme="minorEastAsia" w:hAnsiTheme="minorEastAsia" w:eastAsiaTheme="minorEastAsia"/>
          <w:bCs/>
          <w:sz w:val="32"/>
          <w:szCs w:val="32"/>
        </w:rPr>
        <w:t xml:space="preserve"> </w:t>
      </w:r>
      <w:r>
        <w:rPr>
          <w:rFonts w:cs="宋体" w:asciiTheme="minorEastAsia" w:hAnsiTheme="minorEastAsia" w:eastAsiaTheme="minorEastAsia"/>
          <w:bCs/>
          <w:sz w:val="32"/>
          <w:szCs w:val="32"/>
        </w:rPr>
        <w:t xml:space="preserve"> </w:t>
      </w:r>
    </w:p>
    <w:p w14:paraId="52555ACF">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甲方：</w:t>
      </w:r>
      <w:r>
        <w:rPr>
          <w:rFonts w:hint="eastAsia" w:cs="宋体" w:asciiTheme="minorEastAsia" w:hAnsiTheme="minorEastAsia" w:eastAsiaTheme="minorEastAsia"/>
          <w:bCs/>
          <w:sz w:val="32"/>
          <w:szCs w:val="32"/>
          <w:u w:val="single"/>
        </w:rPr>
        <w:t xml:space="preserve">                                    </w:t>
      </w:r>
    </w:p>
    <w:p w14:paraId="4F585404">
      <w:pPr>
        <w:widowControl/>
        <w:spacing w:line="360" w:lineRule="auto"/>
        <w:rPr>
          <w:rFonts w:cs="宋体" w:asciiTheme="minorEastAsia" w:hAnsiTheme="minorEastAsia" w:eastAsiaTheme="minorEastAsia"/>
          <w:bCs/>
          <w:sz w:val="32"/>
          <w:szCs w:val="32"/>
        </w:rPr>
      </w:pPr>
    </w:p>
    <w:p w14:paraId="11907671">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乙方：</w:t>
      </w:r>
      <w:r>
        <w:rPr>
          <w:rFonts w:hint="eastAsia" w:cs="宋体" w:asciiTheme="minorEastAsia" w:hAnsiTheme="minorEastAsia" w:eastAsiaTheme="minorEastAsia"/>
          <w:bCs/>
          <w:sz w:val="32"/>
          <w:szCs w:val="32"/>
          <w:u w:val="single"/>
        </w:rPr>
        <w:t xml:space="preserve">                                       </w:t>
      </w:r>
      <w:r>
        <w:rPr>
          <w:rFonts w:cs="宋体" w:asciiTheme="minorEastAsia" w:hAnsiTheme="minorEastAsia" w:eastAsiaTheme="minorEastAsia"/>
          <w:bCs/>
          <w:sz w:val="32"/>
          <w:szCs w:val="32"/>
        </w:rPr>
        <w:t xml:space="preserve"> </w:t>
      </w:r>
    </w:p>
    <w:p w14:paraId="63A1BE88">
      <w:pPr>
        <w:widowControl/>
        <w:spacing w:line="360" w:lineRule="auto"/>
        <w:rPr>
          <w:rFonts w:cs="宋体" w:asciiTheme="minorEastAsia" w:hAnsiTheme="minorEastAsia" w:eastAsiaTheme="minorEastAsia"/>
          <w:bCs/>
          <w:sz w:val="32"/>
          <w:szCs w:val="32"/>
        </w:rPr>
      </w:pPr>
    </w:p>
    <w:p w14:paraId="74C6A283">
      <w:pPr>
        <w:widowControl/>
        <w:spacing w:line="360" w:lineRule="auto"/>
        <w:rPr>
          <w:rFonts w:cs="宋体" w:asciiTheme="minorEastAsia" w:hAnsiTheme="minorEastAsia" w:eastAsiaTheme="minorEastAsia"/>
          <w:bCs/>
          <w:sz w:val="32"/>
          <w:szCs w:val="32"/>
        </w:rPr>
      </w:pPr>
    </w:p>
    <w:p w14:paraId="6CED859B">
      <w:pPr>
        <w:widowControl/>
        <w:spacing w:line="360" w:lineRule="auto"/>
        <w:rPr>
          <w:rFonts w:cs="宋体" w:asciiTheme="minorEastAsia" w:hAnsiTheme="minorEastAsia" w:eastAsiaTheme="minorEastAsia"/>
          <w:bCs/>
          <w:sz w:val="32"/>
          <w:szCs w:val="32"/>
        </w:rPr>
      </w:pPr>
    </w:p>
    <w:p w14:paraId="63530F40">
      <w:pPr>
        <w:widowControl/>
        <w:spacing w:line="360" w:lineRule="auto"/>
        <w:rPr>
          <w:rFonts w:cs="宋体" w:asciiTheme="minorEastAsia" w:hAnsiTheme="minorEastAsia" w:eastAsiaTheme="minorEastAsia"/>
          <w:bCs/>
          <w:sz w:val="32"/>
          <w:szCs w:val="32"/>
          <w:u w:val="single"/>
        </w:rPr>
        <w:sectPr>
          <w:pgSz w:w="11906" w:h="16838"/>
          <w:pgMar w:top="1440" w:right="1800" w:bottom="1440" w:left="1800" w:header="851" w:footer="992" w:gutter="0"/>
          <w:cols w:space="425" w:num="1"/>
          <w:docGrid w:type="lines" w:linePitch="312" w:charSpace="0"/>
        </w:sectPr>
      </w:pPr>
      <w:r>
        <w:rPr>
          <w:rFonts w:hint="eastAsia" w:cs="宋体" w:asciiTheme="minorEastAsia" w:hAnsiTheme="minorEastAsia" w:eastAsiaTheme="minorEastAsia"/>
          <w:bCs/>
          <w:sz w:val="32"/>
          <w:szCs w:val="32"/>
        </w:rPr>
        <w:t>签订日期：</w:t>
      </w:r>
      <w:r>
        <w:rPr>
          <w:rFonts w:hint="eastAsia" w:cs="宋体" w:asciiTheme="minorEastAsia" w:hAnsiTheme="minorEastAsia" w:eastAsiaTheme="minorEastAsia"/>
          <w:bCs/>
          <w:sz w:val="32"/>
          <w:szCs w:val="32"/>
          <w:u w:val="single"/>
        </w:rPr>
        <w:t xml:space="preserve">      年    月   日</w:t>
      </w:r>
    </w:p>
    <w:p w14:paraId="7B73D431">
      <w:pPr>
        <w:widowControl/>
        <w:spacing w:line="360" w:lineRule="auto"/>
        <w:jc w:val="left"/>
        <w:rPr>
          <w:rFonts w:ascii="宋体" w:hAnsi="宋体" w:cs="宋体"/>
          <w:color w:val="000000"/>
          <w:kern w:val="0"/>
          <w:sz w:val="24"/>
        </w:rPr>
      </w:pPr>
      <w:r>
        <w:rPr>
          <w:rFonts w:hint="eastAsia" w:ascii="宋体" w:hAnsi="宋体" w:cs="宋体"/>
          <w:color w:val="000000"/>
          <w:kern w:val="0"/>
          <w:sz w:val="24"/>
        </w:rPr>
        <w:t>甲  方：</w:t>
      </w:r>
      <w:r>
        <w:rPr>
          <w:rFonts w:hint="eastAsia" w:ascii="宋体" w:hAnsi="宋体" w:cs="宋体"/>
          <w:color w:val="000000"/>
          <w:kern w:val="0"/>
          <w:sz w:val="24"/>
          <w:u w:val="single"/>
        </w:rPr>
        <w:t xml:space="preserve">                              </w:t>
      </w:r>
      <w:r>
        <w:rPr>
          <w:rFonts w:ascii="宋体" w:hAnsi="宋体" w:cs="宋体"/>
          <w:color w:val="000000"/>
          <w:kern w:val="0"/>
          <w:sz w:val="24"/>
        </w:rPr>
        <w:t xml:space="preserve"> </w:t>
      </w:r>
    </w:p>
    <w:p w14:paraId="79EE6C5C">
      <w:pPr>
        <w:rPr>
          <w:b/>
          <w:bCs/>
          <w:sz w:val="30"/>
          <w:szCs w:val="30"/>
          <w:u w:val="single"/>
        </w:rPr>
      </w:pPr>
      <w:bookmarkStart w:id="4" w:name="OLE_LINK1"/>
      <w:bookmarkEnd w:id="4"/>
      <w:r>
        <w:rPr>
          <w:rFonts w:hint="eastAsia" w:ascii="宋体" w:hAnsi="宋体" w:cs="宋体"/>
          <w:color w:val="000000"/>
          <w:kern w:val="0"/>
          <w:sz w:val="24"/>
        </w:rPr>
        <w:t>乙  方：</w:t>
      </w:r>
      <w:r>
        <w:rPr>
          <w:rFonts w:hint="eastAsia" w:ascii="宋体" w:hAnsi="宋体" w:cs="宋体"/>
          <w:color w:val="000000"/>
          <w:kern w:val="0"/>
          <w:sz w:val="24"/>
          <w:u w:val="single"/>
        </w:rPr>
        <w:t xml:space="preserve">                              </w:t>
      </w:r>
    </w:p>
    <w:p w14:paraId="6CA7A655">
      <w:pPr>
        <w:spacing w:line="360" w:lineRule="auto"/>
        <w:ind w:firstLine="480" w:firstLineChars="200"/>
        <w:rPr>
          <w:rFonts w:ascii="宋体" w:hAnsi="宋体" w:cs="宋体"/>
          <w:color w:val="auto"/>
          <w:kern w:val="0"/>
          <w:sz w:val="24"/>
        </w:rPr>
      </w:pPr>
      <w:r>
        <w:rPr>
          <w:rFonts w:hint="eastAsia" w:ascii="宋体" w:hAnsi="宋体" w:cs="宋体"/>
          <w:color w:val="auto"/>
          <w:sz w:val="24"/>
          <w:lang w:eastAsia="zh-CN"/>
        </w:rPr>
        <w:t>购置治污降霾车辆及设备</w:t>
      </w:r>
      <w:r>
        <w:rPr>
          <w:rFonts w:hint="eastAsia" w:ascii="宋体" w:hAnsi="宋体" w:cs="宋体"/>
          <w:color w:val="auto"/>
          <w:kern w:val="0"/>
          <w:sz w:val="24"/>
        </w:rPr>
        <w:t>（项目编号：</w:t>
      </w:r>
      <w:r>
        <w:rPr>
          <w:rFonts w:hint="eastAsia" w:ascii="宋体" w:hAnsi="宋体" w:cs="宋体"/>
          <w:color w:val="auto"/>
          <w:kern w:val="0"/>
          <w:sz w:val="24"/>
          <w:lang w:eastAsia="zh-CN"/>
        </w:rPr>
        <w:t>SXLZ-2025-118</w:t>
      </w:r>
      <w:r>
        <w:rPr>
          <w:rFonts w:hint="eastAsia" w:ascii="宋体" w:hAnsi="宋体" w:cs="宋体"/>
          <w:color w:val="auto"/>
          <w:kern w:val="0"/>
          <w:sz w:val="24"/>
        </w:rPr>
        <w:t>）</w:t>
      </w:r>
      <w:r>
        <w:rPr>
          <w:rFonts w:hint="eastAsia" w:ascii="宋体" w:hAnsi="宋体" w:cs="宋体"/>
          <w:color w:val="000000"/>
          <w:kern w:val="0"/>
          <w:sz w:val="24"/>
        </w:rPr>
        <w:t>，依据《中华人民共和国政府采购法》《中华人民共和国政府采购法实施条例》《政府采购货物和服务招标投标管理办法》《中华人民共和国民法典》以及</w:t>
      </w:r>
      <w:r>
        <w:rPr>
          <w:rFonts w:hint="eastAsia" w:ascii="宋体" w:hAnsi="宋体" w:cs="宋体"/>
          <w:color w:val="auto"/>
          <w:kern w:val="0"/>
          <w:sz w:val="24"/>
        </w:rPr>
        <w:t>本项目的</w:t>
      </w:r>
      <w:r>
        <w:rPr>
          <w:rFonts w:hint="eastAsia" w:ascii="宋体" w:hAnsi="宋体" w:cs="宋体"/>
          <w:color w:val="auto"/>
          <w:kern w:val="0"/>
          <w:sz w:val="24"/>
          <w:lang w:eastAsia="zh-CN"/>
        </w:rPr>
        <w:t>招标</w:t>
      </w:r>
      <w:r>
        <w:rPr>
          <w:rFonts w:hint="eastAsia" w:ascii="宋体" w:hAnsi="宋体" w:cs="宋体"/>
          <w:color w:val="auto"/>
          <w:kern w:val="0"/>
          <w:sz w:val="24"/>
        </w:rPr>
        <w:t>文件、</w:t>
      </w:r>
      <w:r>
        <w:rPr>
          <w:rFonts w:hint="eastAsia" w:ascii="宋体" w:hAnsi="宋体" w:cs="宋体"/>
          <w:color w:val="auto"/>
          <w:kern w:val="0"/>
          <w:sz w:val="24"/>
          <w:lang w:eastAsia="zh-CN"/>
        </w:rPr>
        <w:t>中标</w:t>
      </w:r>
      <w:r>
        <w:rPr>
          <w:rFonts w:hint="eastAsia" w:ascii="宋体" w:hAnsi="宋体" w:cs="宋体"/>
          <w:color w:val="auto"/>
          <w:kern w:val="0"/>
          <w:sz w:val="24"/>
        </w:rPr>
        <w:t>通知书，经甲、乙双方协商，达成如下条款。</w:t>
      </w:r>
    </w:p>
    <w:p w14:paraId="25EDB2FD">
      <w:pPr>
        <w:widowControl/>
        <w:spacing w:line="360" w:lineRule="auto"/>
        <w:jc w:val="left"/>
        <w:rPr>
          <w:rFonts w:ascii="宋体" w:hAnsi="宋体" w:cs="宋体"/>
          <w:b/>
          <w:bCs/>
          <w:color w:val="auto"/>
          <w:kern w:val="0"/>
          <w:sz w:val="24"/>
        </w:rPr>
      </w:pPr>
      <w:r>
        <w:rPr>
          <w:rFonts w:hint="eastAsia" w:ascii="宋体" w:hAnsi="宋体" w:cs="宋体"/>
          <w:b/>
          <w:bCs/>
          <w:color w:val="auto"/>
          <w:kern w:val="0"/>
          <w:sz w:val="24"/>
        </w:rPr>
        <w:t>一、合同标的物内容及数量、单价、金额</w:t>
      </w:r>
    </w:p>
    <w:tbl>
      <w:tblPr>
        <w:tblStyle w:val="6"/>
        <w:tblpPr w:leftFromText="180" w:rightFromText="180" w:vertAnchor="text" w:horzAnchor="page" w:tblpX="1181" w:tblpY="345"/>
        <w:tblOverlap w:val="never"/>
        <w:tblW w:w="9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1556"/>
        <w:gridCol w:w="1176"/>
        <w:gridCol w:w="1380"/>
        <w:gridCol w:w="1242"/>
        <w:gridCol w:w="843"/>
        <w:gridCol w:w="1363"/>
        <w:gridCol w:w="1361"/>
      </w:tblGrid>
      <w:tr w14:paraId="46BCC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4" w:type="dxa"/>
            <w:tcBorders>
              <w:top w:val="single" w:color="auto" w:sz="4" w:space="0"/>
              <w:left w:val="single" w:color="auto" w:sz="4" w:space="0"/>
              <w:bottom w:val="single" w:color="auto" w:sz="4" w:space="0"/>
              <w:right w:val="single" w:color="auto" w:sz="4" w:space="0"/>
            </w:tcBorders>
            <w:noWrap/>
            <w:vAlign w:val="center"/>
          </w:tcPr>
          <w:p w14:paraId="6E854918">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序号</w:t>
            </w:r>
          </w:p>
        </w:tc>
        <w:tc>
          <w:tcPr>
            <w:tcW w:w="1556" w:type="dxa"/>
            <w:tcBorders>
              <w:top w:val="single" w:color="auto" w:sz="4" w:space="0"/>
              <w:left w:val="single" w:color="auto" w:sz="4" w:space="0"/>
              <w:bottom w:val="single" w:color="auto" w:sz="4" w:space="0"/>
              <w:right w:val="single" w:color="auto" w:sz="4" w:space="0"/>
            </w:tcBorders>
            <w:noWrap/>
            <w:vAlign w:val="center"/>
          </w:tcPr>
          <w:p w14:paraId="76D67C24">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产品名称</w:t>
            </w:r>
          </w:p>
        </w:tc>
        <w:tc>
          <w:tcPr>
            <w:tcW w:w="1176" w:type="dxa"/>
            <w:tcBorders>
              <w:top w:val="single" w:color="auto" w:sz="4" w:space="0"/>
              <w:left w:val="single" w:color="auto" w:sz="4" w:space="0"/>
              <w:bottom w:val="single" w:color="auto" w:sz="4" w:space="0"/>
              <w:right w:val="single" w:color="auto" w:sz="4" w:space="0"/>
            </w:tcBorders>
            <w:noWrap/>
            <w:vAlign w:val="center"/>
          </w:tcPr>
          <w:p w14:paraId="75FD148B">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品牌</w:t>
            </w:r>
          </w:p>
        </w:tc>
        <w:tc>
          <w:tcPr>
            <w:tcW w:w="1380" w:type="dxa"/>
            <w:tcBorders>
              <w:top w:val="single" w:color="auto" w:sz="4" w:space="0"/>
              <w:left w:val="single" w:color="auto" w:sz="4" w:space="0"/>
              <w:bottom w:val="single" w:color="auto" w:sz="4" w:space="0"/>
              <w:right w:val="single" w:color="auto" w:sz="4" w:space="0"/>
            </w:tcBorders>
            <w:noWrap/>
            <w:vAlign w:val="center"/>
          </w:tcPr>
          <w:p w14:paraId="1A965C3A">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规格型号</w:t>
            </w:r>
          </w:p>
        </w:tc>
        <w:tc>
          <w:tcPr>
            <w:tcW w:w="1242" w:type="dxa"/>
            <w:tcBorders>
              <w:top w:val="single" w:color="auto" w:sz="4" w:space="0"/>
              <w:left w:val="single" w:color="auto" w:sz="4" w:space="0"/>
              <w:bottom w:val="single" w:color="auto" w:sz="4" w:space="0"/>
              <w:right w:val="single" w:color="auto" w:sz="4" w:space="0"/>
            </w:tcBorders>
            <w:noWrap/>
            <w:vAlign w:val="center"/>
          </w:tcPr>
          <w:p w14:paraId="7D4A6EC3">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制造商</w:t>
            </w:r>
          </w:p>
        </w:tc>
        <w:tc>
          <w:tcPr>
            <w:tcW w:w="843" w:type="dxa"/>
            <w:tcBorders>
              <w:top w:val="single" w:color="auto" w:sz="4" w:space="0"/>
              <w:left w:val="single" w:color="auto" w:sz="4" w:space="0"/>
              <w:bottom w:val="single" w:color="auto" w:sz="4" w:space="0"/>
              <w:right w:val="single" w:color="auto" w:sz="4" w:space="0"/>
            </w:tcBorders>
            <w:noWrap/>
            <w:vAlign w:val="center"/>
          </w:tcPr>
          <w:p w14:paraId="69A23313">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数量</w:t>
            </w:r>
          </w:p>
        </w:tc>
        <w:tc>
          <w:tcPr>
            <w:tcW w:w="1363" w:type="dxa"/>
            <w:tcBorders>
              <w:top w:val="single" w:color="auto" w:sz="4" w:space="0"/>
              <w:left w:val="single" w:color="auto" w:sz="4" w:space="0"/>
              <w:bottom w:val="single" w:color="auto" w:sz="4" w:space="0"/>
              <w:right w:val="single" w:color="auto" w:sz="4" w:space="0"/>
            </w:tcBorders>
            <w:noWrap/>
            <w:vAlign w:val="center"/>
          </w:tcPr>
          <w:p w14:paraId="50C2B576">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单价（元）</w:t>
            </w:r>
          </w:p>
        </w:tc>
        <w:tc>
          <w:tcPr>
            <w:tcW w:w="1361" w:type="dxa"/>
            <w:tcBorders>
              <w:top w:val="single" w:color="auto" w:sz="4" w:space="0"/>
              <w:left w:val="single" w:color="auto" w:sz="4" w:space="0"/>
              <w:bottom w:val="single" w:color="auto" w:sz="4" w:space="0"/>
              <w:right w:val="single" w:color="auto" w:sz="4" w:space="0"/>
            </w:tcBorders>
            <w:noWrap/>
            <w:vAlign w:val="center"/>
          </w:tcPr>
          <w:p w14:paraId="1DAF36A8">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金额（元）</w:t>
            </w:r>
          </w:p>
        </w:tc>
      </w:tr>
      <w:tr w14:paraId="3FE4A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784" w:type="dxa"/>
            <w:tcBorders>
              <w:top w:val="single" w:color="auto" w:sz="4" w:space="0"/>
              <w:left w:val="single" w:color="auto" w:sz="4" w:space="0"/>
              <w:bottom w:val="single" w:color="auto" w:sz="4" w:space="0"/>
              <w:right w:val="single" w:color="auto" w:sz="4" w:space="0"/>
            </w:tcBorders>
            <w:noWrap/>
            <w:vAlign w:val="center"/>
          </w:tcPr>
          <w:p w14:paraId="0F1D2A69">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1</w:t>
            </w:r>
          </w:p>
        </w:tc>
        <w:tc>
          <w:tcPr>
            <w:tcW w:w="1556" w:type="dxa"/>
            <w:tcBorders>
              <w:top w:val="single" w:color="auto" w:sz="4" w:space="0"/>
              <w:left w:val="single" w:color="auto" w:sz="4" w:space="0"/>
              <w:bottom w:val="single" w:color="auto" w:sz="4" w:space="0"/>
              <w:right w:val="single" w:color="auto" w:sz="4" w:space="0"/>
            </w:tcBorders>
            <w:noWrap/>
            <w:vAlign w:val="center"/>
          </w:tcPr>
          <w:p w14:paraId="4DC3245D">
            <w:pPr>
              <w:widowControl/>
              <w:spacing w:line="360" w:lineRule="auto"/>
              <w:jc w:val="center"/>
              <w:rPr>
                <w:rFonts w:ascii="宋体" w:hAnsi="宋体" w:cs="宋体"/>
                <w:color w:val="000000"/>
                <w:kern w:val="0"/>
                <w:sz w:val="24"/>
              </w:rPr>
            </w:pPr>
          </w:p>
        </w:tc>
        <w:tc>
          <w:tcPr>
            <w:tcW w:w="1176" w:type="dxa"/>
            <w:tcBorders>
              <w:top w:val="single" w:color="auto" w:sz="4" w:space="0"/>
              <w:left w:val="single" w:color="auto" w:sz="4" w:space="0"/>
              <w:bottom w:val="single" w:color="auto" w:sz="4" w:space="0"/>
              <w:right w:val="single" w:color="auto" w:sz="4" w:space="0"/>
            </w:tcBorders>
            <w:noWrap/>
            <w:vAlign w:val="center"/>
          </w:tcPr>
          <w:p w14:paraId="2600A8A8">
            <w:pPr>
              <w:widowControl/>
              <w:spacing w:line="360" w:lineRule="auto"/>
              <w:jc w:val="center"/>
              <w:rPr>
                <w:rFonts w:ascii="宋体" w:hAnsi="宋体" w:cs="宋体"/>
                <w:color w:val="000000"/>
                <w:kern w:val="0"/>
                <w:sz w:val="24"/>
              </w:rPr>
            </w:pPr>
          </w:p>
        </w:tc>
        <w:tc>
          <w:tcPr>
            <w:tcW w:w="1380" w:type="dxa"/>
            <w:tcBorders>
              <w:top w:val="single" w:color="auto" w:sz="4" w:space="0"/>
              <w:left w:val="single" w:color="auto" w:sz="4" w:space="0"/>
              <w:bottom w:val="single" w:color="auto" w:sz="4" w:space="0"/>
              <w:right w:val="single" w:color="auto" w:sz="4" w:space="0"/>
            </w:tcBorders>
            <w:noWrap/>
            <w:vAlign w:val="center"/>
          </w:tcPr>
          <w:p w14:paraId="692C765E">
            <w:pPr>
              <w:widowControl/>
              <w:spacing w:line="360" w:lineRule="auto"/>
              <w:jc w:val="center"/>
              <w:rPr>
                <w:rFonts w:ascii="宋体" w:hAnsi="宋体" w:cs="宋体"/>
                <w:color w:val="000000"/>
                <w:kern w:val="0"/>
                <w:sz w:val="24"/>
              </w:rPr>
            </w:pPr>
          </w:p>
        </w:tc>
        <w:tc>
          <w:tcPr>
            <w:tcW w:w="1242" w:type="dxa"/>
            <w:tcBorders>
              <w:top w:val="single" w:color="auto" w:sz="4" w:space="0"/>
              <w:left w:val="single" w:color="auto" w:sz="4" w:space="0"/>
              <w:bottom w:val="single" w:color="auto" w:sz="4" w:space="0"/>
              <w:right w:val="single" w:color="auto" w:sz="4" w:space="0"/>
            </w:tcBorders>
            <w:noWrap/>
            <w:vAlign w:val="center"/>
          </w:tcPr>
          <w:p w14:paraId="51EA80A8">
            <w:pPr>
              <w:widowControl/>
              <w:spacing w:line="360" w:lineRule="auto"/>
              <w:jc w:val="center"/>
              <w:rPr>
                <w:rFonts w:ascii="宋体" w:hAnsi="宋体" w:cs="宋体"/>
                <w:color w:val="000000"/>
                <w:kern w:val="0"/>
                <w:sz w:val="24"/>
              </w:rPr>
            </w:pPr>
          </w:p>
        </w:tc>
        <w:tc>
          <w:tcPr>
            <w:tcW w:w="843" w:type="dxa"/>
            <w:tcBorders>
              <w:top w:val="single" w:color="auto" w:sz="4" w:space="0"/>
              <w:left w:val="single" w:color="auto" w:sz="4" w:space="0"/>
              <w:bottom w:val="single" w:color="auto" w:sz="4" w:space="0"/>
              <w:right w:val="single" w:color="auto" w:sz="4" w:space="0"/>
            </w:tcBorders>
            <w:noWrap/>
            <w:vAlign w:val="center"/>
          </w:tcPr>
          <w:p w14:paraId="57C48111">
            <w:pPr>
              <w:widowControl/>
              <w:spacing w:line="360" w:lineRule="auto"/>
              <w:jc w:val="center"/>
              <w:rPr>
                <w:rFonts w:ascii="宋体" w:hAnsi="宋体" w:cs="宋体"/>
                <w:color w:val="000000"/>
                <w:kern w:val="0"/>
                <w:sz w:val="24"/>
              </w:rPr>
            </w:pPr>
          </w:p>
        </w:tc>
        <w:tc>
          <w:tcPr>
            <w:tcW w:w="1363" w:type="dxa"/>
            <w:tcBorders>
              <w:top w:val="single" w:color="auto" w:sz="4" w:space="0"/>
              <w:left w:val="single" w:color="auto" w:sz="4" w:space="0"/>
              <w:bottom w:val="single" w:color="auto" w:sz="4" w:space="0"/>
              <w:right w:val="single" w:color="auto" w:sz="4" w:space="0"/>
            </w:tcBorders>
            <w:noWrap/>
            <w:vAlign w:val="center"/>
          </w:tcPr>
          <w:p w14:paraId="751CE040">
            <w:pPr>
              <w:widowControl/>
              <w:spacing w:line="360" w:lineRule="auto"/>
              <w:jc w:val="center"/>
              <w:rPr>
                <w:rFonts w:ascii="宋体" w:hAnsi="宋体" w:cs="宋体"/>
                <w:color w:val="000000"/>
                <w:kern w:val="0"/>
                <w:sz w:val="24"/>
              </w:rPr>
            </w:pPr>
          </w:p>
        </w:tc>
        <w:tc>
          <w:tcPr>
            <w:tcW w:w="1361" w:type="dxa"/>
            <w:tcBorders>
              <w:top w:val="single" w:color="auto" w:sz="4" w:space="0"/>
              <w:left w:val="single" w:color="auto" w:sz="4" w:space="0"/>
              <w:bottom w:val="single" w:color="auto" w:sz="4" w:space="0"/>
              <w:right w:val="single" w:color="auto" w:sz="4" w:space="0"/>
            </w:tcBorders>
            <w:noWrap/>
            <w:vAlign w:val="center"/>
          </w:tcPr>
          <w:p w14:paraId="07B7B199">
            <w:pPr>
              <w:widowControl/>
              <w:spacing w:line="360" w:lineRule="auto"/>
              <w:jc w:val="center"/>
              <w:rPr>
                <w:rFonts w:ascii="宋体" w:hAnsi="宋体" w:cs="宋体"/>
                <w:color w:val="000000"/>
                <w:kern w:val="0"/>
                <w:sz w:val="24"/>
              </w:rPr>
            </w:pPr>
          </w:p>
        </w:tc>
      </w:tr>
      <w:tr w14:paraId="5A4CA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340" w:type="dxa"/>
            <w:gridSpan w:val="2"/>
            <w:vMerge w:val="restart"/>
            <w:tcBorders>
              <w:top w:val="single" w:color="auto" w:sz="4" w:space="0"/>
              <w:left w:val="single" w:color="auto" w:sz="4" w:space="0"/>
              <w:right w:val="single" w:color="auto" w:sz="4" w:space="0"/>
            </w:tcBorders>
            <w:noWrap/>
            <w:vAlign w:val="center"/>
          </w:tcPr>
          <w:p w14:paraId="3E1C5B97">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合   计</w:t>
            </w:r>
          </w:p>
        </w:tc>
        <w:tc>
          <w:tcPr>
            <w:tcW w:w="2556" w:type="dxa"/>
            <w:gridSpan w:val="2"/>
            <w:tcBorders>
              <w:top w:val="single" w:color="auto" w:sz="4" w:space="0"/>
              <w:left w:val="single" w:color="auto" w:sz="4" w:space="0"/>
              <w:right w:val="single" w:color="auto" w:sz="4" w:space="0"/>
            </w:tcBorders>
            <w:noWrap/>
            <w:vAlign w:val="bottom"/>
          </w:tcPr>
          <w:p w14:paraId="289E58B3">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大写（人民币）</w:t>
            </w:r>
          </w:p>
        </w:tc>
        <w:tc>
          <w:tcPr>
            <w:tcW w:w="4809" w:type="dxa"/>
            <w:gridSpan w:val="4"/>
            <w:tcBorders>
              <w:top w:val="single" w:color="auto" w:sz="4" w:space="0"/>
              <w:left w:val="single" w:color="auto" w:sz="4" w:space="0"/>
              <w:bottom w:val="single" w:color="auto" w:sz="4" w:space="0"/>
              <w:right w:val="single" w:color="auto" w:sz="4" w:space="0"/>
            </w:tcBorders>
            <w:noWrap/>
            <w:vAlign w:val="center"/>
          </w:tcPr>
          <w:p w14:paraId="3905471A">
            <w:pPr>
              <w:widowControl/>
              <w:spacing w:line="360" w:lineRule="auto"/>
              <w:jc w:val="left"/>
              <w:rPr>
                <w:rFonts w:ascii="宋体" w:hAnsi="宋体" w:cs="宋体"/>
                <w:color w:val="000000"/>
                <w:kern w:val="0"/>
                <w:sz w:val="24"/>
              </w:rPr>
            </w:pPr>
          </w:p>
        </w:tc>
      </w:tr>
      <w:tr w14:paraId="13083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340" w:type="dxa"/>
            <w:gridSpan w:val="2"/>
            <w:vMerge w:val="continue"/>
            <w:tcBorders>
              <w:left w:val="single" w:color="auto" w:sz="4" w:space="0"/>
              <w:bottom w:val="single" w:color="auto" w:sz="4" w:space="0"/>
              <w:right w:val="single" w:color="auto" w:sz="4" w:space="0"/>
            </w:tcBorders>
            <w:noWrap/>
            <w:vAlign w:val="center"/>
          </w:tcPr>
          <w:p w14:paraId="7BF53D22">
            <w:pPr>
              <w:widowControl/>
              <w:spacing w:line="360" w:lineRule="auto"/>
              <w:jc w:val="left"/>
              <w:rPr>
                <w:rFonts w:ascii="宋体" w:hAnsi="宋体" w:cs="宋体"/>
                <w:color w:val="000000"/>
                <w:kern w:val="0"/>
                <w:sz w:val="24"/>
              </w:rPr>
            </w:pPr>
          </w:p>
        </w:tc>
        <w:tc>
          <w:tcPr>
            <w:tcW w:w="2556" w:type="dxa"/>
            <w:gridSpan w:val="2"/>
            <w:tcBorders>
              <w:left w:val="single" w:color="auto" w:sz="4" w:space="0"/>
              <w:bottom w:val="single" w:color="auto" w:sz="4" w:space="0"/>
              <w:right w:val="single" w:color="auto" w:sz="4" w:space="0"/>
            </w:tcBorders>
            <w:noWrap/>
            <w:vAlign w:val="bottom"/>
          </w:tcPr>
          <w:p w14:paraId="4103C9BC">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小写（人民币）</w:t>
            </w:r>
          </w:p>
        </w:tc>
        <w:tc>
          <w:tcPr>
            <w:tcW w:w="4809" w:type="dxa"/>
            <w:gridSpan w:val="4"/>
            <w:tcBorders>
              <w:top w:val="single" w:color="auto" w:sz="4" w:space="0"/>
              <w:left w:val="single" w:color="auto" w:sz="4" w:space="0"/>
              <w:bottom w:val="single" w:color="auto" w:sz="4" w:space="0"/>
              <w:right w:val="single" w:color="auto" w:sz="4" w:space="0"/>
            </w:tcBorders>
            <w:noWrap/>
            <w:vAlign w:val="center"/>
          </w:tcPr>
          <w:p w14:paraId="35233554">
            <w:pPr>
              <w:widowControl/>
              <w:spacing w:line="360" w:lineRule="auto"/>
              <w:jc w:val="left"/>
              <w:rPr>
                <w:rFonts w:ascii="宋体" w:hAnsi="宋体" w:cs="宋体"/>
                <w:color w:val="000000"/>
                <w:kern w:val="0"/>
                <w:sz w:val="24"/>
              </w:rPr>
            </w:pPr>
          </w:p>
        </w:tc>
      </w:tr>
    </w:tbl>
    <w:p w14:paraId="43A69273">
      <w:pPr>
        <w:widowControl/>
        <w:spacing w:line="360" w:lineRule="auto"/>
        <w:jc w:val="left"/>
        <w:rPr>
          <w:rFonts w:ascii="宋体" w:hAnsi="宋体" w:cs="宋体"/>
          <w:b/>
          <w:bCs/>
          <w:color w:val="000000"/>
          <w:kern w:val="0"/>
          <w:sz w:val="24"/>
        </w:rPr>
      </w:pPr>
      <w:r>
        <w:rPr>
          <w:rFonts w:hint="eastAsia" w:ascii="宋体" w:hAnsi="宋体" w:cs="宋体"/>
          <w:b/>
          <w:bCs/>
          <w:color w:val="000000"/>
          <w:kern w:val="0"/>
          <w:sz w:val="24"/>
        </w:rPr>
        <w:t>二、合同价款</w:t>
      </w:r>
    </w:p>
    <w:p w14:paraId="10F9C152">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1、合同总价款为人民币（大写）：</w:t>
      </w: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u w:val="single"/>
        </w:rPr>
        <w:t xml:space="preserve">         </w:t>
      </w:r>
      <w:r>
        <w:rPr>
          <w:rFonts w:hint="eastAsia" w:ascii="宋体" w:hAnsi="宋体" w:cs="宋体"/>
          <w:color w:val="000000"/>
          <w:kern w:val="0"/>
          <w:sz w:val="24"/>
        </w:rPr>
        <w:t>元）。</w:t>
      </w:r>
    </w:p>
    <w:p w14:paraId="6342FA18">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2、合同总价包括：运输费、人工成本、安装费、调试费以及整车的保险，上户等一切费用、甲方无需再支付其他任何费用。</w:t>
      </w:r>
    </w:p>
    <w:p w14:paraId="39D896FA">
      <w:pPr>
        <w:widowControl/>
        <w:spacing w:line="360" w:lineRule="auto"/>
        <w:ind w:firstLine="480" w:firstLineChars="200"/>
        <w:jc w:val="left"/>
        <w:rPr>
          <w:rFonts w:ascii="宋体" w:hAnsi="宋体" w:cs="宋体"/>
          <w:color w:val="auto"/>
          <w:kern w:val="0"/>
          <w:sz w:val="24"/>
        </w:rPr>
      </w:pPr>
      <w:r>
        <w:rPr>
          <w:rFonts w:hint="eastAsia" w:ascii="宋体" w:hAnsi="宋体" w:cs="宋体"/>
          <w:color w:val="000000"/>
          <w:kern w:val="0"/>
          <w:sz w:val="24"/>
        </w:rPr>
        <w:t>3、合同总价一次</w:t>
      </w:r>
      <w:r>
        <w:rPr>
          <w:rFonts w:hint="eastAsia" w:ascii="宋体" w:hAnsi="宋体" w:cs="宋体"/>
          <w:color w:val="auto"/>
          <w:kern w:val="0"/>
          <w:sz w:val="24"/>
        </w:rPr>
        <w:t>性包死，不受市场价格变化因素的影响。</w:t>
      </w:r>
    </w:p>
    <w:p w14:paraId="517A8877">
      <w:pPr>
        <w:spacing w:line="384" w:lineRule="auto"/>
        <w:ind w:firstLine="480" w:firstLineChars="200"/>
        <w:jc w:val="left"/>
        <w:rPr>
          <w:rFonts w:hint="eastAsia" w:ascii="宋体" w:hAnsi="宋体" w:eastAsia="宋体" w:cs="宋体"/>
          <w:color w:val="auto"/>
          <w:kern w:val="0"/>
          <w:sz w:val="24"/>
          <w:lang w:val="zh-CN"/>
        </w:rPr>
      </w:pPr>
      <w:r>
        <w:rPr>
          <w:rFonts w:hint="eastAsia" w:ascii="宋体" w:hAnsi="宋体" w:cs="宋体"/>
          <w:color w:val="auto"/>
          <w:kern w:val="0"/>
          <w:sz w:val="24"/>
        </w:rPr>
        <w:t>4、</w:t>
      </w:r>
      <w:r>
        <w:rPr>
          <w:rFonts w:hint="eastAsia" w:ascii="宋体" w:hAnsi="宋体"/>
          <w:color w:val="auto"/>
          <w:sz w:val="24"/>
        </w:rPr>
        <w:t>付款条件（进度和方式）：</w:t>
      </w:r>
      <w:r>
        <w:rPr>
          <w:rFonts w:hint="eastAsia" w:ascii="宋体" w:hAnsi="宋体" w:eastAsia="宋体" w:cs="宋体"/>
          <w:color w:val="auto"/>
          <w:kern w:val="0"/>
          <w:sz w:val="24"/>
          <w:lang w:val="zh-CN"/>
        </w:rPr>
        <w:t>付款条件说明：货物交付并验收合格，项目资金到位，达到付款条件起90日内，支付合同总金额的100.00%。</w:t>
      </w:r>
    </w:p>
    <w:p w14:paraId="0BB1EA67">
      <w:pPr>
        <w:tabs>
          <w:tab w:val="left" w:pos="0"/>
          <w:tab w:val="left" w:pos="1365"/>
        </w:tabs>
        <w:spacing w:line="360" w:lineRule="auto"/>
        <w:rPr>
          <w:rFonts w:ascii="宋体"/>
          <w:b/>
          <w:color w:val="auto"/>
          <w:sz w:val="24"/>
        </w:rPr>
      </w:pPr>
      <w:r>
        <w:rPr>
          <w:rFonts w:hint="eastAsia" w:ascii="宋体" w:hAnsi="宋体"/>
          <w:b/>
          <w:color w:val="auto"/>
          <w:sz w:val="24"/>
        </w:rPr>
        <w:t>三、知识产权</w:t>
      </w:r>
    </w:p>
    <w:p w14:paraId="58207450">
      <w:pPr>
        <w:tabs>
          <w:tab w:val="left" w:pos="945"/>
        </w:tabs>
        <w:spacing w:line="360" w:lineRule="auto"/>
        <w:ind w:firstLine="480" w:firstLineChars="200"/>
        <w:rPr>
          <w:rFonts w:ascii="宋体"/>
          <w:bCs/>
          <w:sz w:val="24"/>
        </w:rPr>
      </w:pPr>
      <w:r>
        <w:rPr>
          <w:rFonts w:hint="eastAsia" w:ascii="宋体" w:hAnsi="宋体"/>
          <w:bCs/>
          <w:sz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14:paraId="0C58ECE4">
      <w:pPr>
        <w:tabs>
          <w:tab w:val="left" w:pos="735"/>
        </w:tabs>
        <w:spacing w:line="360" w:lineRule="auto"/>
        <w:rPr>
          <w:rFonts w:ascii="宋体"/>
          <w:b/>
          <w:sz w:val="24"/>
        </w:rPr>
      </w:pPr>
      <w:r>
        <w:rPr>
          <w:rFonts w:hint="eastAsia" w:ascii="宋体" w:hAnsi="宋体"/>
          <w:b/>
          <w:sz w:val="24"/>
        </w:rPr>
        <w:t>四、质量要求与检验</w:t>
      </w:r>
    </w:p>
    <w:p w14:paraId="7519AEA9">
      <w:pPr>
        <w:tabs>
          <w:tab w:val="left" w:pos="525"/>
          <w:tab w:val="left" w:pos="1050"/>
          <w:tab w:val="left" w:pos="1155"/>
        </w:tabs>
        <w:spacing w:line="360" w:lineRule="auto"/>
        <w:ind w:firstLine="520" w:firstLineChars="217"/>
        <w:rPr>
          <w:rFonts w:ascii="宋体"/>
          <w:bCs/>
          <w:sz w:val="24"/>
        </w:rPr>
      </w:pPr>
      <w:r>
        <w:rPr>
          <w:rFonts w:ascii="宋体" w:hAnsi="宋体"/>
          <w:bCs/>
          <w:sz w:val="24"/>
        </w:rPr>
        <w:t>1</w:t>
      </w:r>
      <w:r>
        <w:rPr>
          <w:rFonts w:hint="eastAsia" w:ascii="宋体" w:hAnsi="宋体"/>
          <w:bCs/>
          <w:sz w:val="24"/>
        </w:rPr>
        <w:t>．乙方应严格按照</w:t>
      </w:r>
      <w:r>
        <w:rPr>
          <w:rFonts w:hint="eastAsia" w:ascii="宋体" w:hAnsi="宋体"/>
          <w:bCs/>
          <w:sz w:val="24"/>
          <w:lang w:eastAsia="zh-CN"/>
        </w:rPr>
        <w:t>招标</w:t>
      </w:r>
      <w:r>
        <w:rPr>
          <w:rFonts w:hint="eastAsia" w:ascii="宋体" w:hAnsi="宋体"/>
          <w:bCs/>
          <w:sz w:val="24"/>
        </w:rPr>
        <w:t>文件的有关规定和乙方投标文件提供合格的货物及服务。</w:t>
      </w:r>
    </w:p>
    <w:p w14:paraId="6FBE26DD">
      <w:pPr>
        <w:tabs>
          <w:tab w:val="left" w:pos="1050"/>
          <w:tab w:val="left" w:pos="1155"/>
        </w:tabs>
        <w:spacing w:line="360" w:lineRule="auto"/>
        <w:ind w:firstLine="520" w:firstLineChars="217"/>
        <w:rPr>
          <w:rFonts w:ascii="宋体"/>
          <w:bCs/>
          <w:sz w:val="24"/>
        </w:rPr>
      </w:pPr>
      <w:r>
        <w:rPr>
          <w:rFonts w:ascii="宋体" w:hAnsi="宋体"/>
          <w:bCs/>
          <w:sz w:val="24"/>
        </w:rPr>
        <w:t>2</w:t>
      </w:r>
      <w:r>
        <w:rPr>
          <w:rFonts w:hint="eastAsia" w:ascii="宋体" w:hAnsi="宋体"/>
          <w:bCs/>
          <w:sz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14:paraId="590B1C15">
      <w:pPr>
        <w:tabs>
          <w:tab w:val="left" w:pos="420"/>
          <w:tab w:val="left" w:pos="1050"/>
          <w:tab w:val="left" w:pos="1155"/>
        </w:tabs>
        <w:spacing w:line="360" w:lineRule="auto"/>
        <w:ind w:firstLine="520" w:firstLineChars="217"/>
        <w:rPr>
          <w:rFonts w:ascii="宋体"/>
          <w:bCs/>
          <w:sz w:val="24"/>
        </w:rPr>
      </w:pPr>
      <w:r>
        <w:rPr>
          <w:rFonts w:ascii="宋体" w:hAnsi="宋体"/>
          <w:bCs/>
          <w:sz w:val="24"/>
        </w:rPr>
        <w:t>3</w:t>
      </w:r>
      <w:r>
        <w:rPr>
          <w:rFonts w:hint="eastAsia" w:ascii="宋体" w:hAnsi="宋体"/>
          <w:bCs/>
          <w:sz w:val="24"/>
        </w:rPr>
        <w:t>．货物的到货验收包括：数量、外观、质量、性能、随机备件、装箱单、质量证书等随机资料及包装完整无破损。</w:t>
      </w:r>
    </w:p>
    <w:p w14:paraId="64B07357">
      <w:pPr>
        <w:tabs>
          <w:tab w:val="left" w:pos="1050"/>
          <w:tab w:val="left" w:pos="1155"/>
        </w:tabs>
        <w:spacing w:line="360" w:lineRule="auto"/>
        <w:ind w:firstLine="520" w:firstLineChars="217"/>
        <w:rPr>
          <w:rFonts w:ascii="宋体"/>
          <w:bCs/>
          <w:sz w:val="24"/>
        </w:rPr>
      </w:pPr>
      <w:r>
        <w:rPr>
          <w:rFonts w:ascii="宋体" w:hAnsi="宋体"/>
          <w:bCs/>
          <w:sz w:val="24"/>
        </w:rPr>
        <w:t>4</w:t>
      </w:r>
      <w:r>
        <w:rPr>
          <w:rFonts w:hint="eastAsia" w:ascii="宋体" w:hAnsi="宋体"/>
          <w:bCs/>
          <w:sz w:val="24"/>
        </w:rPr>
        <w:t>．货物和系统调试验收标准：按行业通行标准、厂方出厂标准、</w:t>
      </w:r>
      <w:r>
        <w:rPr>
          <w:rFonts w:hint="eastAsia" w:ascii="宋体" w:hAnsi="宋体"/>
          <w:bCs/>
          <w:sz w:val="24"/>
          <w:lang w:eastAsia="zh-CN"/>
        </w:rPr>
        <w:t>招标</w:t>
      </w:r>
      <w:r>
        <w:rPr>
          <w:rFonts w:hint="eastAsia" w:ascii="宋体" w:hAnsi="宋体"/>
          <w:bCs/>
          <w:sz w:val="24"/>
        </w:rPr>
        <w:t>文件要求和乙方投标文件的承诺，并不低于国家相关标准。</w:t>
      </w:r>
    </w:p>
    <w:p w14:paraId="561CF12F">
      <w:pPr>
        <w:tabs>
          <w:tab w:val="left" w:pos="1050"/>
          <w:tab w:val="left" w:pos="1155"/>
        </w:tabs>
        <w:spacing w:line="360" w:lineRule="auto"/>
        <w:ind w:firstLine="520" w:firstLineChars="217"/>
        <w:rPr>
          <w:rFonts w:ascii="宋体"/>
          <w:bCs/>
          <w:sz w:val="24"/>
        </w:rPr>
      </w:pPr>
      <w:r>
        <w:rPr>
          <w:rFonts w:ascii="宋体" w:hAnsi="宋体"/>
          <w:bCs/>
          <w:sz w:val="24"/>
        </w:rPr>
        <w:t>5</w:t>
      </w:r>
      <w:r>
        <w:rPr>
          <w:rFonts w:hint="eastAsia" w:ascii="宋体" w:hAnsi="宋体"/>
          <w:bCs/>
          <w:sz w:val="24"/>
        </w:rPr>
        <w:t>．货物运到甲方指定地点并经甲方验证签收后，由于甲方保管不善造成的质量问题，乙方应负责修理，但有关费用由甲方承担。</w:t>
      </w:r>
    </w:p>
    <w:p w14:paraId="5C08FF11">
      <w:pPr>
        <w:tabs>
          <w:tab w:val="left" w:pos="1050"/>
          <w:tab w:val="left" w:pos="1155"/>
        </w:tabs>
        <w:spacing w:line="360" w:lineRule="auto"/>
        <w:ind w:firstLine="520" w:firstLineChars="217"/>
        <w:rPr>
          <w:rFonts w:ascii="宋体"/>
          <w:bCs/>
          <w:sz w:val="24"/>
        </w:rPr>
      </w:pPr>
      <w:r>
        <w:rPr>
          <w:rFonts w:ascii="宋体" w:hAnsi="宋体"/>
          <w:bCs/>
          <w:sz w:val="24"/>
        </w:rPr>
        <w:t xml:space="preserve">6. </w:t>
      </w:r>
      <w:r>
        <w:rPr>
          <w:rFonts w:hint="eastAsia" w:ascii="宋体" w:hAnsi="宋体"/>
          <w:bCs/>
          <w:sz w:val="24"/>
        </w:rPr>
        <w:t>经验收不合格的，乙方应当按照甲方要求在指定的合理期限内进行整改和完善，直至符合</w:t>
      </w:r>
      <w:r>
        <w:rPr>
          <w:rFonts w:hint="eastAsia" w:ascii="宋体" w:hAnsi="宋体"/>
          <w:bCs/>
          <w:sz w:val="24"/>
          <w:lang w:eastAsia="zh-CN"/>
        </w:rPr>
        <w:t>招标</w:t>
      </w:r>
      <w:r>
        <w:rPr>
          <w:rFonts w:hint="eastAsia" w:ascii="宋体" w:hAnsi="宋体"/>
          <w:bCs/>
          <w:sz w:val="24"/>
        </w:rPr>
        <w:t>文件要求的相关标准。逾期不予整改或经整改仍不能符合相关要求，或者导致合同目的无法实现，甲方有权依照法律程序解除合同，并追究乙方的违约责任。</w:t>
      </w:r>
    </w:p>
    <w:p w14:paraId="6A6A1E20">
      <w:pPr>
        <w:tabs>
          <w:tab w:val="left" w:pos="1050"/>
          <w:tab w:val="left" w:pos="1155"/>
        </w:tabs>
        <w:spacing w:line="360" w:lineRule="auto"/>
        <w:ind w:firstLine="520" w:firstLineChars="217"/>
        <w:rPr>
          <w:rFonts w:ascii="宋体"/>
          <w:bCs/>
          <w:sz w:val="24"/>
        </w:rPr>
      </w:pPr>
      <w:r>
        <w:rPr>
          <w:rFonts w:ascii="宋体" w:hAnsi="宋体"/>
          <w:bCs/>
          <w:sz w:val="24"/>
        </w:rPr>
        <w:t xml:space="preserve">7. </w:t>
      </w:r>
      <w:r>
        <w:rPr>
          <w:rFonts w:hint="eastAsia" w:ascii="宋体" w:hAnsi="宋体"/>
          <w:bCs/>
          <w:sz w:val="24"/>
        </w:rPr>
        <w:t>甲方不得擅自变更招投标文件约定的性能、指标等相关内容，如有变更应按《中华人民共和国政府采购法》、财政部《政府采购货物和服务招标投标管理办法》的相关程序执行。</w:t>
      </w:r>
    </w:p>
    <w:p w14:paraId="6E089CE4">
      <w:pPr>
        <w:spacing w:line="360" w:lineRule="auto"/>
        <w:ind w:left="-2" w:leftChars="-1" w:firstLine="523" w:firstLineChars="217"/>
        <w:rPr>
          <w:rFonts w:ascii="宋体"/>
          <w:b/>
          <w:sz w:val="24"/>
        </w:rPr>
      </w:pPr>
      <w:r>
        <w:rPr>
          <w:rFonts w:hint="eastAsia" w:ascii="宋体" w:hAnsi="宋体"/>
          <w:b/>
          <w:sz w:val="24"/>
        </w:rPr>
        <w:t>五、交货条件</w:t>
      </w:r>
    </w:p>
    <w:p w14:paraId="3E9B8E57">
      <w:pPr>
        <w:tabs>
          <w:tab w:val="left" w:pos="420"/>
          <w:tab w:val="left" w:pos="1155"/>
        </w:tabs>
        <w:spacing w:line="360" w:lineRule="auto"/>
        <w:ind w:firstLine="520" w:firstLineChars="217"/>
        <w:rPr>
          <w:rFonts w:ascii="宋体"/>
          <w:bCs/>
          <w:sz w:val="24"/>
        </w:rPr>
      </w:pPr>
      <w:r>
        <w:rPr>
          <w:rFonts w:ascii="宋体" w:hAnsi="宋体"/>
          <w:bCs/>
          <w:sz w:val="24"/>
        </w:rPr>
        <w:t>1</w:t>
      </w:r>
      <w:r>
        <w:rPr>
          <w:rFonts w:hint="eastAsia" w:ascii="宋体" w:hAnsi="宋体"/>
          <w:bCs/>
          <w:sz w:val="24"/>
        </w:rPr>
        <w:t>．交货</w:t>
      </w:r>
      <w:r>
        <w:rPr>
          <w:rFonts w:hint="eastAsia" w:ascii="宋体" w:hAnsi="宋体"/>
          <w:bCs/>
          <w:color w:val="auto"/>
          <w:sz w:val="24"/>
        </w:rPr>
        <w:t>日期：</w:t>
      </w:r>
      <w:r>
        <w:rPr>
          <w:rFonts w:hint="eastAsia" w:ascii="宋体" w:hAnsi="宋体" w:eastAsia="宋体" w:cs="宋体"/>
          <w:bCs/>
          <w:color w:val="auto"/>
          <w:sz w:val="24"/>
          <w:highlight w:val="none"/>
          <w:u w:val="single"/>
        </w:rPr>
        <w:t xml:space="preserve"> 合同签订后</w:t>
      </w:r>
      <w:r>
        <w:rPr>
          <w:rFonts w:hint="eastAsia" w:ascii="宋体" w:hAnsi="宋体" w:cs="宋体"/>
          <w:bCs/>
          <w:color w:val="auto"/>
          <w:sz w:val="24"/>
          <w:highlight w:val="none"/>
          <w:u w:val="single"/>
          <w:lang w:val="en-US" w:eastAsia="zh-CN"/>
        </w:rPr>
        <w:t>25</w:t>
      </w:r>
      <w:r>
        <w:rPr>
          <w:rFonts w:hint="eastAsia" w:ascii="宋体" w:hAnsi="宋体" w:eastAsia="宋体" w:cs="宋体"/>
          <w:bCs/>
          <w:color w:val="auto"/>
          <w:sz w:val="24"/>
          <w:highlight w:val="none"/>
          <w:u w:val="single"/>
        </w:rPr>
        <w:t xml:space="preserve">天内 </w:t>
      </w:r>
      <w:r>
        <w:rPr>
          <w:rFonts w:hint="eastAsia" w:ascii="宋体" w:hAnsi="宋体" w:cs="宋体"/>
          <w:bCs/>
          <w:color w:val="auto"/>
          <w:sz w:val="24"/>
        </w:rPr>
        <w:t>完成供货，</w:t>
      </w:r>
      <w:r>
        <w:rPr>
          <w:rFonts w:hint="eastAsia" w:ascii="宋体" w:hAnsi="宋体" w:cs="宋体"/>
          <w:bCs/>
          <w:sz w:val="24"/>
        </w:rPr>
        <w:t>并交付甲方验收合格。</w:t>
      </w:r>
    </w:p>
    <w:p w14:paraId="43955057">
      <w:pPr>
        <w:tabs>
          <w:tab w:val="left" w:pos="1155"/>
        </w:tabs>
        <w:spacing w:line="360" w:lineRule="auto"/>
        <w:ind w:firstLine="520" w:firstLineChars="217"/>
        <w:rPr>
          <w:rFonts w:ascii="宋体"/>
          <w:bCs/>
          <w:sz w:val="24"/>
        </w:rPr>
      </w:pPr>
      <w:r>
        <w:rPr>
          <w:rFonts w:ascii="宋体" w:hAnsi="宋体"/>
          <w:bCs/>
          <w:sz w:val="24"/>
        </w:rPr>
        <w:t>2</w:t>
      </w:r>
      <w:r>
        <w:rPr>
          <w:rFonts w:hint="eastAsia" w:ascii="宋体" w:hAnsi="宋体"/>
          <w:bCs/>
          <w:sz w:val="24"/>
        </w:rPr>
        <w:t>．乙方在验收时应先用信函、传真、电子邮件等书面方式通知甲方。</w:t>
      </w:r>
    </w:p>
    <w:p w14:paraId="37C9DC42">
      <w:pPr>
        <w:tabs>
          <w:tab w:val="left" w:pos="1155"/>
        </w:tabs>
        <w:spacing w:line="360" w:lineRule="auto"/>
        <w:ind w:firstLine="520" w:firstLineChars="217"/>
        <w:rPr>
          <w:rFonts w:ascii="宋体"/>
          <w:bCs/>
          <w:sz w:val="24"/>
        </w:rPr>
      </w:pPr>
      <w:r>
        <w:rPr>
          <w:rFonts w:ascii="宋体" w:hAnsi="宋体"/>
          <w:bCs/>
          <w:sz w:val="24"/>
        </w:rPr>
        <w:t xml:space="preserve">3. </w:t>
      </w:r>
      <w:r>
        <w:rPr>
          <w:rFonts w:hint="eastAsia" w:ascii="宋体" w:hAnsi="宋体"/>
          <w:bCs/>
          <w:sz w:val="24"/>
        </w:rPr>
        <w:t>货物的外观、包装、运输应按国家有关规定或相关部颁标准执行。如因乙方包装或运输不当等原因造成损坏或丢失，应由乙方负责调换或补缺，如因此导致乙方逾期交付货物的，乙方还应承担逾期交付的违约责任。</w:t>
      </w:r>
    </w:p>
    <w:p w14:paraId="6089FE78">
      <w:pPr>
        <w:tabs>
          <w:tab w:val="left" w:pos="1155"/>
        </w:tabs>
        <w:spacing w:line="360" w:lineRule="auto"/>
        <w:ind w:firstLine="520" w:firstLineChars="217"/>
        <w:rPr>
          <w:rFonts w:ascii="宋体"/>
          <w:bCs/>
          <w:sz w:val="24"/>
        </w:rPr>
      </w:pPr>
      <w:r>
        <w:rPr>
          <w:rFonts w:ascii="宋体" w:hAnsi="宋体"/>
          <w:bCs/>
          <w:sz w:val="24"/>
        </w:rPr>
        <w:t>4.</w:t>
      </w:r>
      <w:r>
        <w:rPr>
          <w:rFonts w:hint="eastAsia" w:ascii="宋体" w:hAnsi="宋体"/>
          <w:bCs/>
          <w:sz w:val="24"/>
        </w:rPr>
        <w:t>货物交货时，所有货物必须带有货物质量检验合格证书、中文质保单、装箱单、中文货物安装使用说明书。其他附件所有部件必须原包装。</w:t>
      </w:r>
    </w:p>
    <w:p w14:paraId="3A75600A">
      <w:pPr>
        <w:tabs>
          <w:tab w:val="left" w:pos="945"/>
          <w:tab w:val="left" w:pos="1155"/>
        </w:tabs>
        <w:spacing w:line="360" w:lineRule="auto"/>
        <w:ind w:left="2" w:firstLine="520" w:firstLineChars="217"/>
        <w:rPr>
          <w:rFonts w:ascii="宋体"/>
          <w:bCs/>
          <w:sz w:val="24"/>
        </w:rPr>
      </w:pPr>
      <w:r>
        <w:rPr>
          <w:rFonts w:ascii="宋体" w:hAnsi="宋体"/>
          <w:bCs/>
          <w:sz w:val="24"/>
        </w:rPr>
        <w:t xml:space="preserve">5. </w:t>
      </w:r>
      <w:r>
        <w:rPr>
          <w:rFonts w:hint="eastAsia" w:ascii="宋体" w:hAnsi="宋体"/>
          <w:bCs/>
          <w:sz w:val="24"/>
        </w:rPr>
        <w:t>运输及到货地点：由乙方负责办理运输并承担所有费用，直接送到甲方指定地点，即：以合同书上的地点为准。</w:t>
      </w:r>
    </w:p>
    <w:p w14:paraId="1E942B68">
      <w:pPr>
        <w:spacing w:line="360" w:lineRule="auto"/>
        <w:ind w:firstLine="482" w:firstLineChars="200"/>
        <w:rPr>
          <w:rFonts w:ascii="宋体"/>
          <w:b/>
          <w:sz w:val="24"/>
        </w:rPr>
      </w:pPr>
      <w:r>
        <w:rPr>
          <w:rFonts w:hint="eastAsia" w:ascii="宋体" w:hAnsi="宋体"/>
          <w:b/>
          <w:sz w:val="24"/>
        </w:rPr>
        <w:t>六、售后服务、质保期及上户</w:t>
      </w:r>
    </w:p>
    <w:p w14:paraId="72A043B0">
      <w:pPr>
        <w:numPr>
          <w:ilvl w:val="0"/>
          <w:numId w:val="1"/>
        </w:numPr>
        <w:tabs>
          <w:tab w:val="left" w:pos="525"/>
          <w:tab w:val="left" w:pos="840"/>
          <w:tab w:val="left" w:pos="945"/>
          <w:tab w:val="clear" w:pos="1965"/>
        </w:tabs>
        <w:spacing w:line="360" w:lineRule="auto"/>
        <w:ind w:left="0" w:firstLine="520" w:firstLineChars="217"/>
        <w:rPr>
          <w:rFonts w:ascii="宋体"/>
          <w:bCs/>
          <w:sz w:val="24"/>
        </w:rPr>
      </w:pPr>
      <w:r>
        <w:rPr>
          <w:rFonts w:hint="eastAsia" w:ascii="宋体" w:hAnsi="宋体"/>
          <w:bCs/>
          <w:sz w:val="24"/>
        </w:rPr>
        <w:t>乙方负责本项目的安装和调试，并保证其提供的货物符合国家、行业、地方、招投标文件及合同规定的质量、性能和标准，并正确且安全地安装。</w:t>
      </w:r>
    </w:p>
    <w:p w14:paraId="315E5D4A">
      <w:pPr>
        <w:numPr>
          <w:ilvl w:val="0"/>
          <w:numId w:val="1"/>
        </w:numPr>
        <w:tabs>
          <w:tab w:val="left" w:pos="525"/>
          <w:tab w:val="left" w:pos="840"/>
          <w:tab w:val="left" w:pos="945"/>
          <w:tab w:val="left" w:pos="1050"/>
          <w:tab w:val="clear" w:pos="1965"/>
        </w:tabs>
        <w:spacing w:line="360" w:lineRule="auto"/>
        <w:ind w:left="0" w:firstLine="520" w:firstLineChars="217"/>
        <w:rPr>
          <w:rFonts w:ascii="宋体"/>
          <w:bCs/>
          <w:sz w:val="24"/>
        </w:rPr>
      </w:pPr>
      <w:r>
        <w:rPr>
          <w:rFonts w:hint="eastAsia" w:ascii="宋体" w:hAnsi="宋体"/>
          <w:bCs/>
          <w:sz w:val="24"/>
        </w:rPr>
        <w:t>乙方提供的服务全部按照国家有关法律法规规章和“三包”规定以及按</w:t>
      </w:r>
      <w:r>
        <w:rPr>
          <w:rFonts w:hint="eastAsia" w:ascii="宋体" w:hAnsi="宋体"/>
          <w:bCs/>
          <w:sz w:val="24"/>
          <w:lang w:eastAsia="zh-CN"/>
        </w:rPr>
        <w:t>招标</w:t>
      </w:r>
      <w:r>
        <w:rPr>
          <w:rFonts w:hint="eastAsia" w:ascii="宋体" w:hAnsi="宋体"/>
          <w:bCs/>
          <w:sz w:val="24"/>
        </w:rPr>
        <w:t>文件要求和乙方投标文件中的承诺执行。</w:t>
      </w:r>
    </w:p>
    <w:p w14:paraId="7D1EE971">
      <w:pPr>
        <w:numPr>
          <w:ilvl w:val="0"/>
          <w:numId w:val="1"/>
        </w:numPr>
        <w:tabs>
          <w:tab w:val="left" w:pos="525"/>
          <w:tab w:val="left" w:pos="840"/>
          <w:tab w:val="left" w:pos="945"/>
          <w:tab w:val="left" w:pos="1050"/>
          <w:tab w:val="clear" w:pos="1965"/>
        </w:tabs>
        <w:spacing w:line="360" w:lineRule="auto"/>
        <w:ind w:left="0" w:firstLine="520" w:firstLineChars="217"/>
        <w:rPr>
          <w:rFonts w:ascii="宋体"/>
          <w:bCs/>
          <w:sz w:val="24"/>
        </w:rPr>
      </w:pPr>
      <w:r>
        <w:rPr>
          <w:rFonts w:hint="eastAsia" w:ascii="宋体" w:hAnsi="宋体"/>
          <w:bCs/>
          <w:sz w:val="24"/>
        </w:rPr>
        <w:t>质保期后的货物维护由双方协商再定。</w:t>
      </w:r>
    </w:p>
    <w:p w14:paraId="1271E47E">
      <w:pPr>
        <w:numPr>
          <w:ilvl w:val="0"/>
          <w:numId w:val="1"/>
        </w:numPr>
        <w:tabs>
          <w:tab w:val="left" w:pos="525"/>
          <w:tab w:val="left" w:pos="840"/>
          <w:tab w:val="left" w:pos="945"/>
          <w:tab w:val="left" w:pos="1050"/>
          <w:tab w:val="clear" w:pos="1965"/>
        </w:tabs>
        <w:spacing w:line="360" w:lineRule="auto"/>
        <w:ind w:left="0" w:firstLine="520" w:firstLineChars="217"/>
        <w:rPr>
          <w:rFonts w:ascii="宋体"/>
          <w:bCs/>
          <w:sz w:val="24"/>
        </w:rPr>
      </w:pPr>
      <w:r>
        <w:rPr>
          <w:rFonts w:hint="eastAsia" w:ascii="宋体" w:hAnsi="宋体"/>
          <w:bCs/>
          <w:sz w:val="24"/>
        </w:rPr>
        <w:t>甲方应向乙方现场调试的技术人员及维修人员提供方便条件，有关费用由乙方负责。</w:t>
      </w:r>
    </w:p>
    <w:p w14:paraId="1546ED13">
      <w:pPr>
        <w:numPr>
          <w:ilvl w:val="0"/>
          <w:numId w:val="1"/>
        </w:numPr>
        <w:tabs>
          <w:tab w:val="left" w:pos="525"/>
          <w:tab w:val="left" w:pos="840"/>
          <w:tab w:val="left" w:pos="945"/>
          <w:tab w:val="left" w:pos="1050"/>
          <w:tab w:val="clear" w:pos="1965"/>
        </w:tabs>
        <w:spacing w:line="360" w:lineRule="auto"/>
        <w:ind w:left="0" w:firstLine="520" w:firstLineChars="217"/>
        <w:rPr>
          <w:rFonts w:ascii="宋体"/>
          <w:bCs/>
          <w:sz w:val="24"/>
        </w:rPr>
      </w:pPr>
      <w:r>
        <w:rPr>
          <w:rFonts w:hint="eastAsia" w:ascii="宋体" w:hAnsi="宋体"/>
          <w:bCs/>
          <w:sz w:val="24"/>
        </w:rPr>
        <w:t>甲方如要求乙方提供</w:t>
      </w:r>
      <w:r>
        <w:rPr>
          <w:rFonts w:hint="eastAsia" w:ascii="宋体" w:hAnsi="宋体"/>
          <w:bCs/>
          <w:sz w:val="24"/>
          <w:lang w:eastAsia="zh-CN"/>
        </w:rPr>
        <w:t>招标</w:t>
      </w:r>
      <w:r>
        <w:rPr>
          <w:rFonts w:hint="eastAsia" w:ascii="宋体" w:hAnsi="宋体"/>
          <w:bCs/>
          <w:sz w:val="24"/>
        </w:rPr>
        <w:t>文件及乙方投标文件以外的其他服务，其费用另定。</w:t>
      </w:r>
    </w:p>
    <w:p w14:paraId="71B9A80B">
      <w:pPr>
        <w:numPr>
          <w:ilvl w:val="0"/>
          <w:numId w:val="1"/>
        </w:numPr>
        <w:tabs>
          <w:tab w:val="left" w:pos="525"/>
          <w:tab w:val="left" w:pos="840"/>
          <w:tab w:val="left" w:pos="945"/>
          <w:tab w:val="left" w:pos="1050"/>
          <w:tab w:val="clear" w:pos="1965"/>
        </w:tabs>
        <w:spacing w:line="360" w:lineRule="auto"/>
        <w:ind w:left="0" w:firstLine="520" w:firstLineChars="217"/>
        <w:rPr>
          <w:rFonts w:ascii="宋体"/>
          <w:bCs/>
          <w:sz w:val="24"/>
        </w:rPr>
      </w:pPr>
      <w:r>
        <w:rPr>
          <w:rFonts w:hint="eastAsia" w:ascii="宋体"/>
          <w:bCs/>
          <w:sz w:val="24"/>
        </w:rPr>
        <w:t>（1）底盘、发动机：按照底盘、发动机供应商质保条款执行。</w:t>
      </w:r>
    </w:p>
    <w:p w14:paraId="27681E9D">
      <w:pPr>
        <w:numPr>
          <w:ilvl w:val="0"/>
          <w:numId w:val="2"/>
        </w:numPr>
        <w:tabs>
          <w:tab w:val="left" w:pos="525"/>
          <w:tab w:val="left" w:pos="840"/>
          <w:tab w:val="left" w:pos="945"/>
          <w:tab w:val="left" w:pos="1050"/>
        </w:tabs>
        <w:spacing w:line="360" w:lineRule="auto"/>
        <w:ind w:firstLine="960" w:firstLineChars="400"/>
        <w:rPr>
          <w:rFonts w:ascii="宋体"/>
          <w:bCs/>
          <w:sz w:val="24"/>
        </w:rPr>
      </w:pPr>
      <w:r>
        <w:rPr>
          <w:rFonts w:hint="eastAsia" w:ascii="宋体"/>
          <w:bCs/>
          <w:sz w:val="24"/>
        </w:rPr>
        <w:t>易损件、易耗件不提供质保。</w:t>
      </w:r>
    </w:p>
    <w:p w14:paraId="0137D42C">
      <w:pPr>
        <w:numPr>
          <w:ilvl w:val="0"/>
          <w:numId w:val="2"/>
        </w:numPr>
        <w:tabs>
          <w:tab w:val="left" w:pos="525"/>
          <w:tab w:val="left" w:pos="840"/>
          <w:tab w:val="left" w:pos="945"/>
          <w:tab w:val="left" w:pos="1050"/>
        </w:tabs>
        <w:spacing w:line="360" w:lineRule="auto"/>
        <w:ind w:firstLine="960" w:firstLineChars="400"/>
        <w:rPr>
          <w:rFonts w:ascii="宋体"/>
          <w:bCs/>
          <w:sz w:val="24"/>
        </w:rPr>
      </w:pPr>
      <w:r>
        <w:rPr>
          <w:rFonts w:hint="eastAsia" w:ascii="宋体"/>
          <w:bCs/>
          <w:sz w:val="24"/>
        </w:rPr>
        <w:t>整车其他部件：</w:t>
      </w:r>
      <w:r>
        <w:rPr>
          <w:rFonts w:hint="eastAsia" w:ascii="宋体"/>
          <w:bCs/>
          <w:sz w:val="24"/>
          <w:u w:val="single"/>
        </w:rPr>
        <w:t xml:space="preserve">                                </w:t>
      </w:r>
      <w:r>
        <w:rPr>
          <w:rFonts w:hint="eastAsia" w:ascii="宋体"/>
          <w:bCs/>
          <w:sz w:val="24"/>
        </w:rPr>
        <w:t xml:space="preserve">     </w:t>
      </w:r>
      <w:r>
        <w:rPr>
          <w:rFonts w:ascii="宋体"/>
          <w:bCs/>
          <w:sz w:val="24"/>
        </w:rPr>
        <w:t xml:space="preserve"> </w:t>
      </w:r>
    </w:p>
    <w:p w14:paraId="2BA3338E">
      <w:pPr>
        <w:numPr>
          <w:ilvl w:val="0"/>
          <w:numId w:val="0"/>
        </w:numPr>
        <w:tabs>
          <w:tab w:val="left" w:pos="525"/>
          <w:tab w:val="left" w:pos="840"/>
          <w:tab w:val="left" w:pos="945"/>
          <w:tab w:val="left" w:pos="1050"/>
        </w:tabs>
        <w:spacing w:line="360" w:lineRule="auto"/>
        <w:ind w:firstLine="480" w:firstLineChars="200"/>
        <w:rPr>
          <w:rFonts w:ascii="宋体"/>
          <w:sz w:val="24"/>
        </w:rPr>
      </w:pPr>
      <w:r>
        <w:rPr>
          <w:rFonts w:hint="eastAsia" w:ascii="宋体"/>
          <w:sz w:val="24"/>
          <w:lang w:val="en-US" w:eastAsia="zh-CN"/>
        </w:rPr>
        <w:t>7.</w:t>
      </w:r>
      <w:r>
        <w:rPr>
          <w:rFonts w:hint="eastAsia" w:ascii="宋体"/>
          <w:sz w:val="24"/>
        </w:rPr>
        <w:t>乙方提供7*24小时电话服务和技术支持；在接到用户故障通知后，4小时内派出合格的维修人员到达现场进行维修服务，承担相应费用，在每次维护完毕后，必须提交相应的维护技术文档；（2）在质量保证期内发生的质量问题，由乙方负责免费解决，包退包换（因甲方使用不当或其他人为因素造成的故障除外）：（3）在质量保证期外发生的质量问题，乙方应提供终生的维修服务，且相关配件及人工费用不得高于平均市场价格。</w:t>
      </w:r>
    </w:p>
    <w:p w14:paraId="70D85312">
      <w:pPr>
        <w:numPr>
          <w:ilvl w:val="0"/>
          <w:numId w:val="3"/>
        </w:numPr>
        <w:tabs>
          <w:tab w:val="left" w:pos="525"/>
          <w:tab w:val="left" w:pos="840"/>
          <w:tab w:val="left" w:pos="945"/>
          <w:tab w:val="left" w:pos="1050"/>
        </w:tabs>
        <w:spacing w:line="360" w:lineRule="auto"/>
        <w:rPr>
          <w:rFonts w:ascii="宋体"/>
          <w:sz w:val="24"/>
        </w:rPr>
      </w:pPr>
      <w:r>
        <w:rPr>
          <w:rFonts w:hint="eastAsia" w:ascii="宋体"/>
          <w:sz w:val="24"/>
        </w:rPr>
        <w:t>乙方负责提供车辆保险（交强险+商业险）、上户服务，且包含所有费用。</w:t>
      </w:r>
    </w:p>
    <w:p w14:paraId="349B4CD7">
      <w:pPr>
        <w:spacing w:line="360" w:lineRule="auto"/>
        <w:ind w:firstLine="482" w:firstLineChars="200"/>
        <w:rPr>
          <w:rFonts w:ascii="宋体"/>
          <w:b/>
          <w:sz w:val="24"/>
        </w:rPr>
      </w:pPr>
      <w:r>
        <w:rPr>
          <w:rFonts w:hint="eastAsia" w:ascii="宋体" w:hAnsi="宋体"/>
          <w:b/>
          <w:sz w:val="24"/>
        </w:rPr>
        <w:t>七、违约责任：</w:t>
      </w:r>
    </w:p>
    <w:p w14:paraId="7CC32EB3">
      <w:pPr>
        <w:numPr>
          <w:ilvl w:val="0"/>
          <w:numId w:val="4"/>
        </w:numPr>
        <w:tabs>
          <w:tab w:val="left" w:pos="0"/>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在履行合同的过程中，如果乙方遇到妨碍按时交货和提供服务的情况时，应及时以书面形式将拖延的事实、可能拖延的时间和原因通知甲方。甲方在收到乙方通知后，应尽快对情况进行核实，并有权根据情况确定是否酌情延长交货时间以及是否收取逾期交货的违约金及损害赔偿金（如有），或依照法律程序解除部分或全部合同。延期应通过签订补充合同的方式由双方认可并履行。</w:t>
      </w:r>
    </w:p>
    <w:p w14:paraId="2055240F">
      <w:pPr>
        <w:numPr>
          <w:ilvl w:val="0"/>
          <w:numId w:val="4"/>
        </w:numPr>
        <w:tabs>
          <w:tab w:val="left" w:pos="0"/>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如乙方逾期交货且未经甲方同意延长交货时间，除不可抗力外，每逾期一日，乙方应按照逾期交货金额的万分之五的标准累计计算向甲方支付违约金。逾期超过</w:t>
      </w:r>
      <w:r>
        <w:rPr>
          <w:rFonts w:ascii="宋体" w:hAnsi="宋体"/>
          <w:bCs/>
          <w:sz w:val="24"/>
        </w:rPr>
        <w:t>20</w:t>
      </w:r>
      <w:r>
        <w:rPr>
          <w:rFonts w:hint="eastAsia" w:ascii="宋体" w:hAnsi="宋体"/>
          <w:bCs/>
          <w:sz w:val="24"/>
        </w:rPr>
        <w:t>个工作日的，甲方有权依照法律程序解除合同，甲方如已支付费用的，乙方全部返还，且乙方应按照合同总价的</w:t>
      </w:r>
      <w:r>
        <w:rPr>
          <w:rFonts w:ascii="宋体" w:hAnsi="宋体"/>
          <w:bCs/>
          <w:sz w:val="24"/>
        </w:rPr>
        <w:t>30%</w:t>
      </w:r>
      <w:r>
        <w:rPr>
          <w:rFonts w:hint="eastAsia" w:ascii="宋体" w:hAnsi="宋体"/>
          <w:bCs/>
          <w:sz w:val="24"/>
        </w:rPr>
        <w:t>向甲方支付违约金，如给甲方造成损失的，还应赔偿损失。</w:t>
      </w:r>
    </w:p>
    <w:p w14:paraId="4A1E53D3">
      <w:pPr>
        <w:numPr>
          <w:ilvl w:val="0"/>
          <w:numId w:val="4"/>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甲方无正当理由逾期付款时，每逾期一日，甲方应按照逾期付款金额的万分之五的标准累计计算向乙方支付违约金。</w:t>
      </w:r>
    </w:p>
    <w:p w14:paraId="3685E21C">
      <w:pPr>
        <w:numPr>
          <w:ilvl w:val="0"/>
          <w:numId w:val="4"/>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由于甲方的原因要求延期交货，甲方应按规定支付货款，并承担乙方提供的代为保管费。（有关仓储规定另议）</w:t>
      </w:r>
    </w:p>
    <w:p w14:paraId="2FA3462B">
      <w:pPr>
        <w:numPr>
          <w:ilvl w:val="0"/>
          <w:numId w:val="4"/>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乙方如无不可抗力，又未履行</w:t>
      </w:r>
      <w:r>
        <w:rPr>
          <w:rFonts w:hint="eastAsia" w:ascii="宋体" w:hAnsi="宋体"/>
          <w:bCs/>
          <w:sz w:val="24"/>
          <w:lang w:eastAsia="zh-CN"/>
        </w:rPr>
        <w:t>招标</w:t>
      </w:r>
      <w:r>
        <w:rPr>
          <w:rFonts w:hint="eastAsia" w:ascii="宋体" w:hAnsi="宋体"/>
          <w:bCs/>
          <w:sz w:val="24"/>
        </w:rPr>
        <w:t>文件、投标文件和合同条款的，一经查实，由乙方赔偿由此给甲方造成的损失，并按照合同总价的</w:t>
      </w:r>
      <w:r>
        <w:rPr>
          <w:rFonts w:ascii="宋体" w:hAnsi="宋体"/>
          <w:bCs/>
          <w:sz w:val="24"/>
        </w:rPr>
        <w:t>30%</w:t>
      </w:r>
      <w:r>
        <w:rPr>
          <w:rFonts w:hint="eastAsia" w:ascii="宋体" w:hAnsi="宋体"/>
          <w:bCs/>
          <w:sz w:val="24"/>
        </w:rPr>
        <w:t>向甲方支付违约金，因招、投标产生的其他责任及后果按</w:t>
      </w:r>
      <w:r>
        <w:rPr>
          <w:rFonts w:hint="eastAsia" w:ascii="宋体" w:hAnsi="宋体"/>
          <w:bCs/>
          <w:sz w:val="24"/>
          <w:lang w:eastAsia="zh-CN"/>
        </w:rPr>
        <w:t>招标</w:t>
      </w:r>
      <w:r>
        <w:rPr>
          <w:rFonts w:hint="eastAsia" w:ascii="宋体" w:hAnsi="宋体"/>
          <w:bCs/>
          <w:sz w:val="24"/>
        </w:rPr>
        <w:t>文件的相关要求及处理方式执行。</w:t>
      </w:r>
    </w:p>
    <w:p w14:paraId="0FA5FE26">
      <w:pPr>
        <w:numPr>
          <w:ilvl w:val="0"/>
          <w:numId w:val="4"/>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w:t>
      </w:r>
      <w:r>
        <w:rPr>
          <w:rFonts w:ascii="宋体" w:hAnsi="宋体"/>
          <w:bCs/>
          <w:sz w:val="24"/>
        </w:rPr>
        <w:t>20%</w:t>
      </w:r>
      <w:r>
        <w:rPr>
          <w:rFonts w:hint="eastAsia" w:ascii="宋体" w:hAnsi="宋体"/>
          <w:bCs/>
          <w:sz w:val="24"/>
        </w:rPr>
        <w:t>向甲方支付违约金，如给甲方造成其他损失的，乙方还应负责赔偿。</w:t>
      </w:r>
    </w:p>
    <w:p w14:paraId="36B6B875">
      <w:pPr>
        <w:numPr>
          <w:ilvl w:val="0"/>
          <w:numId w:val="4"/>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如遭遇不可抗力事件，遭遇不可抗力的一方应尽快以书面形式将不可抗力的情况和原因通知另一方，并积极采取措施防止损失扩大。因不可抗力造成的损失，乙、甲双方按照法律规定处理。</w:t>
      </w:r>
    </w:p>
    <w:p w14:paraId="756DAB26">
      <w:pPr>
        <w:numPr>
          <w:ilvl w:val="0"/>
          <w:numId w:val="4"/>
        </w:numPr>
        <w:tabs>
          <w:tab w:val="left" w:pos="105"/>
          <w:tab w:val="left" w:pos="525"/>
          <w:tab w:val="left" w:pos="945"/>
          <w:tab w:val="clear" w:pos="315"/>
        </w:tabs>
        <w:spacing w:line="360" w:lineRule="auto"/>
        <w:ind w:left="0" w:firstLine="520" w:firstLineChars="217"/>
        <w:rPr>
          <w:rFonts w:ascii="宋体" w:hAnsi="宋体" w:cs="宋体"/>
          <w:sz w:val="24"/>
        </w:rPr>
      </w:pPr>
      <w:r>
        <w:rPr>
          <w:rFonts w:hint="eastAsia" w:ascii="宋体" w:hAnsi="宋体"/>
          <w:bCs/>
          <w:sz w:val="24"/>
          <w:lang w:eastAsia="zh-CN"/>
        </w:rPr>
        <w:t>招标</w:t>
      </w:r>
      <w:r>
        <w:rPr>
          <w:rFonts w:hint="eastAsia" w:ascii="宋体" w:hAnsi="宋体"/>
          <w:bCs/>
          <w:sz w:val="24"/>
        </w:rPr>
        <w:t>文件及合同中所述之“不可抗力”系指不可预见、不可避免、不可克服的事件，包括但不限于：战争、洪水、台风、地震及其他法律法规规定的事件。</w:t>
      </w:r>
    </w:p>
    <w:p w14:paraId="75C8AFEF">
      <w:pPr>
        <w:spacing w:line="360" w:lineRule="auto"/>
        <w:rPr>
          <w:rFonts w:ascii="宋体" w:hAnsi="宋体" w:cs="宋体"/>
          <w:b/>
          <w:bCs/>
          <w:sz w:val="24"/>
        </w:rPr>
      </w:pPr>
      <w:r>
        <w:rPr>
          <w:rFonts w:hint="eastAsia" w:ascii="宋体" w:hAnsi="宋体" w:cs="宋体"/>
          <w:b/>
          <w:bCs/>
          <w:sz w:val="24"/>
        </w:rPr>
        <w:t>八、双方的权利和义务</w:t>
      </w:r>
    </w:p>
    <w:p w14:paraId="0DDF9815">
      <w:pPr>
        <w:spacing w:line="360" w:lineRule="auto"/>
        <w:ind w:firstLine="480" w:firstLineChars="200"/>
        <w:rPr>
          <w:rFonts w:ascii="宋体" w:hAnsi="宋体" w:cs="宋体"/>
          <w:sz w:val="24"/>
        </w:rPr>
      </w:pPr>
      <w:r>
        <w:rPr>
          <w:rFonts w:hint="eastAsia" w:ascii="宋体" w:hAnsi="宋体" w:cs="宋体"/>
          <w:sz w:val="24"/>
        </w:rPr>
        <w:t>（一）甲方的权利和义务</w:t>
      </w:r>
    </w:p>
    <w:p w14:paraId="7C91928E">
      <w:pPr>
        <w:spacing w:line="360" w:lineRule="auto"/>
        <w:ind w:firstLine="480" w:firstLineChars="200"/>
        <w:rPr>
          <w:rFonts w:ascii="宋体" w:hAnsi="宋体" w:cs="宋体"/>
          <w:sz w:val="24"/>
        </w:rPr>
      </w:pPr>
      <w:r>
        <w:rPr>
          <w:rFonts w:hint="eastAsia" w:ascii="宋体" w:hAnsi="宋体" w:cs="宋体"/>
          <w:sz w:val="24"/>
        </w:rPr>
        <w:t>1、甲方应积极配合乙方，并组织相关专家及技术人员进行产品的验收工作。</w:t>
      </w:r>
    </w:p>
    <w:p w14:paraId="08435709">
      <w:pPr>
        <w:spacing w:line="360" w:lineRule="auto"/>
        <w:ind w:firstLine="480" w:firstLineChars="200"/>
        <w:rPr>
          <w:rFonts w:ascii="宋体" w:hAnsi="宋体" w:cs="宋体"/>
          <w:sz w:val="24"/>
        </w:rPr>
      </w:pPr>
      <w:r>
        <w:rPr>
          <w:rFonts w:hint="eastAsia" w:ascii="宋体" w:hAnsi="宋体" w:cs="宋体"/>
          <w:sz w:val="24"/>
        </w:rPr>
        <w:t>2、甲方若发现存在潜在的产品质量安全问题，有权终止对产品进行验收，并以书面形式通知乙方和鉴证方。甲方有权要求乙方进行退货或换货处理。造成损失甲方有权要求乙方承担索赔、罚款。</w:t>
      </w:r>
    </w:p>
    <w:p w14:paraId="42D2AE16">
      <w:pPr>
        <w:spacing w:line="360" w:lineRule="auto"/>
        <w:ind w:firstLine="480" w:firstLineChars="200"/>
        <w:rPr>
          <w:rFonts w:ascii="宋体" w:hAnsi="宋体" w:cs="宋体"/>
          <w:sz w:val="24"/>
        </w:rPr>
      </w:pPr>
      <w:r>
        <w:rPr>
          <w:rFonts w:hint="eastAsia" w:ascii="宋体" w:hAnsi="宋体" w:cs="宋体"/>
          <w:sz w:val="24"/>
        </w:rPr>
        <w:t>（二）乙方的权利和义务</w:t>
      </w:r>
    </w:p>
    <w:p w14:paraId="6B99A13C">
      <w:pPr>
        <w:spacing w:line="360" w:lineRule="auto"/>
        <w:ind w:firstLine="480" w:firstLineChars="200"/>
        <w:rPr>
          <w:rFonts w:ascii="宋体" w:hAnsi="宋体" w:cs="宋体"/>
          <w:sz w:val="24"/>
        </w:rPr>
      </w:pPr>
      <w:r>
        <w:rPr>
          <w:rFonts w:hint="eastAsia" w:ascii="宋体" w:hAnsi="宋体" w:cs="宋体"/>
          <w:sz w:val="24"/>
        </w:rPr>
        <w:t>1、乙方提供产品必须是满足合同配置的全新产品。产品必须符合国家有关质量标准。</w:t>
      </w:r>
    </w:p>
    <w:p w14:paraId="5E0D942F">
      <w:pPr>
        <w:spacing w:line="360" w:lineRule="auto"/>
        <w:ind w:firstLine="480" w:firstLineChars="200"/>
        <w:rPr>
          <w:rFonts w:ascii="宋体" w:hAnsi="宋体" w:cs="宋体"/>
          <w:sz w:val="24"/>
        </w:rPr>
      </w:pPr>
      <w:r>
        <w:rPr>
          <w:rFonts w:hint="eastAsia" w:ascii="宋体" w:hAnsi="宋体" w:cs="宋体"/>
          <w:sz w:val="24"/>
        </w:rPr>
        <w:t>2、乙方保证所供产品来源渠道合法，产品完全符合合同规定的质量、规格、技术指标等要求，提供产品出厂的资料及相关单证，并在合同规定期限内、外应对由于产品，供货渠道等的缺陷而产生的质量问题负责。</w:t>
      </w:r>
    </w:p>
    <w:p w14:paraId="4F7B5060">
      <w:pPr>
        <w:spacing w:line="360" w:lineRule="auto"/>
        <w:ind w:firstLine="480" w:firstLineChars="200"/>
        <w:rPr>
          <w:rFonts w:ascii="宋体" w:hAnsi="宋体" w:cs="宋体"/>
          <w:sz w:val="24"/>
        </w:rPr>
      </w:pPr>
      <w:r>
        <w:rPr>
          <w:rFonts w:hint="eastAsia" w:ascii="宋体" w:hAnsi="宋体" w:cs="宋体"/>
          <w:sz w:val="24"/>
        </w:rPr>
        <w:t>3、在质保期内，如果发现货物的质量、规格、技术指标等存在与合同中任何一项不符，采购人应在最短时间内，以书面形式向中标人提出索赔。同时通告采购代理机构。</w:t>
      </w:r>
    </w:p>
    <w:p w14:paraId="21EA0164">
      <w:pPr>
        <w:spacing w:line="360" w:lineRule="auto"/>
        <w:ind w:firstLine="480" w:firstLineChars="200"/>
        <w:rPr>
          <w:rFonts w:ascii="宋体" w:hAnsi="宋体" w:cs="宋体"/>
          <w:sz w:val="24"/>
        </w:rPr>
      </w:pPr>
      <w:r>
        <w:rPr>
          <w:rFonts w:hint="eastAsia" w:ascii="宋体" w:hAnsi="宋体" w:cs="宋体"/>
          <w:sz w:val="24"/>
        </w:rPr>
        <w:t>4、乙方所供产品必须具有合法手续及相关文件。</w:t>
      </w:r>
    </w:p>
    <w:p w14:paraId="504BBE94">
      <w:pPr>
        <w:adjustRightInd w:val="0"/>
        <w:snapToGrid w:val="0"/>
        <w:spacing w:line="360" w:lineRule="auto"/>
        <w:rPr>
          <w:rFonts w:ascii="宋体" w:hAnsi="宋体" w:cs="宋体"/>
          <w:b/>
          <w:bCs/>
          <w:sz w:val="24"/>
        </w:rPr>
      </w:pPr>
      <w:r>
        <w:rPr>
          <w:rFonts w:hint="eastAsia" w:ascii="宋体" w:hAnsi="宋体" w:cs="宋体"/>
          <w:b/>
          <w:bCs/>
          <w:sz w:val="24"/>
        </w:rPr>
        <w:t>九、验收</w:t>
      </w:r>
    </w:p>
    <w:p w14:paraId="132BF893">
      <w:pPr>
        <w:spacing w:line="360" w:lineRule="auto"/>
        <w:ind w:firstLine="480" w:firstLineChars="200"/>
        <w:rPr>
          <w:rFonts w:ascii="宋体" w:hAnsi="宋体" w:cs="宋体"/>
          <w:sz w:val="24"/>
        </w:rPr>
      </w:pPr>
      <w:r>
        <w:rPr>
          <w:rFonts w:hint="eastAsia" w:ascii="宋体" w:hAnsi="宋体" w:cs="宋体"/>
          <w:sz w:val="24"/>
        </w:rPr>
        <w:t>1、由采购人实施验收。</w:t>
      </w:r>
    </w:p>
    <w:p w14:paraId="385B2443">
      <w:pPr>
        <w:spacing w:line="360" w:lineRule="auto"/>
        <w:ind w:firstLine="480" w:firstLineChars="200"/>
        <w:rPr>
          <w:rFonts w:ascii="宋体" w:hAnsi="宋体" w:cs="宋体"/>
          <w:sz w:val="24"/>
        </w:rPr>
      </w:pPr>
      <w:r>
        <w:rPr>
          <w:rFonts w:hint="eastAsia" w:ascii="宋体" w:hAnsi="宋体" w:cs="宋体"/>
          <w:sz w:val="24"/>
        </w:rPr>
        <w:t>2、验收依据：验收须以合同、</w:t>
      </w:r>
      <w:r>
        <w:rPr>
          <w:rFonts w:hint="eastAsia" w:ascii="宋体" w:hAnsi="宋体" w:cs="宋体"/>
          <w:sz w:val="24"/>
          <w:lang w:eastAsia="zh-CN"/>
        </w:rPr>
        <w:t>招标</w:t>
      </w:r>
      <w:r>
        <w:rPr>
          <w:rFonts w:hint="eastAsia" w:ascii="宋体" w:hAnsi="宋体" w:cs="宋体"/>
          <w:sz w:val="24"/>
        </w:rPr>
        <w:t>文件、响应文件、澄清及国家相应的标准、规范等为依据。</w:t>
      </w:r>
    </w:p>
    <w:p w14:paraId="663D9A88">
      <w:pPr>
        <w:adjustRightInd w:val="0"/>
        <w:snapToGrid w:val="0"/>
        <w:spacing w:line="360" w:lineRule="auto"/>
        <w:rPr>
          <w:rFonts w:ascii="宋体" w:hAnsi="宋体" w:cs="宋体"/>
          <w:b/>
          <w:bCs/>
          <w:sz w:val="24"/>
        </w:rPr>
      </w:pPr>
      <w:r>
        <w:rPr>
          <w:rFonts w:hint="eastAsia" w:ascii="宋体" w:hAnsi="宋体" w:cs="宋体"/>
          <w:b/>
          <w:bCs/>
          <w:sz w:val="24"/>
        </w:rPr>
        <w:t>十、合同争议的解决</w:t>
      </w:r>
    </w:p>
    <w:p w14:paraId="77C61DCA">
      <w:pPr>
        <w:adjustRightInd w:val="0"/>
        <w:snapToGrid w:val="0"/>
        <w:spacing w:line="360" w:lineRule="auto"/>
        <w:ind w:firstLine="480" w:firstLineChars="200"/>
        <w:rPr>
          <w:rFonts w:ascii="宋体" w:hAnsi="宋体" w:cs="宋体"/>
          <w:sz w:val="24"/>
        </w:rPr>
      </w:pPr>
      <w:r>
        <w:rPr>
          <w:rFonts w:hint="eastAsia" w:ascii="宋体" w:hAnsi="宋体" w:cs="宋体"/>
          <w:sz w:val="24"/>
        </w:rPr>
        <w:t>合同执行中发生争议的，当事人双方应协商解决，协商达不成一致时，可向人民法院提请诉讼。</w:t>
      </w:r>
    </w:p>
    <w:p w14:paraId="61DE051E">
      <w:pPr>
        <w:adjustRightInd w:val="0"/>
        <w:snapToGrid w:val="0"/>
        <w:spacing w:line="360" w:lineRule="auto"/>
        <w:rPr>
          <w:rFonts w:ascii="宋体" w:hAnsi="宋体" w:cs="宋体"/>
          <w:sz w:val="24"/>
        </w:rPr>
      </w:pPr>
      <w:r>
        <w:rPr>
          <w:rFonts w:hint="eastAsia" w:ascii="宋体" w:hAnsi="宋体" w:cs="宋体"/>
          <w:b/>
          <w:bCs/>
          <w:sz w:val="24"/>
        </w:rPr>
        <w:t>十一、</w:t>
      </w:r>
      <w:r>
        <w:rPr>
          <w:rFonts w:hint="eastAsia" w:ascii="宋体" w:hAnsi="宋体" w:cs="宋体"/>
          <w:sz w:val="24"/>
        </w:rPr>
        <w:t>在发生不可抗力情况下的应对措施和解决办法。</w:t>
      </w:r>
    </w:p>
    <w:p w14:paraId="21E989F3">
      <w:pPr>
        <w:spacing w:line="360" w:lineRule="auto"/>
        <w:rPr>
          <w:rFonts w:ascii="宋体" w:hAnsi="宋体" w:cs="宋体"/>
          <w:sz w:val="24"/>
        </w:rPr>
      </w:pPr>
      <w:r>
        <w:rPr>
          <w:rFonts w:hint="eastAsia" w:ascii="宋体" w:hAnsi="宋体" w:cs="宋体"/>
          <w:b/>
          <w:bCs/>
          <w:sz w:val="24"/>
        </w:rPr>
        <w:t>十二、</w:t>
      </w:r>
      <w:r>
        <w:rPr>
          <w:rFonts w:hint="eastAsia" w:ascii="宋体" w:hAnsi="宋体" w:cs="宋体"/>
          <w:sz w:val="24"/>
        </w:rPr>
        <w:t>合同一经签订，不得擅自变更、中止或者终止合同。对确需变更、调整或者中止、终止合同的，应按规定履行相应的手续。</w:t>
      </w:r>
    </w:p>
    <w:p w14:paraId="2FD4BD61">
      <w:pPr>
        <w:spacing w:line="360" w:lineRule="auto"/>
        <w:rPr>
          <w:rFonts w:ascii="宋体" w:hAnsi="宋体" w:cs="宋体"/>
          <w:b/>
          <w:bCs/>
          <w:sz w:val="24"/>
        </w:rPr>
      </w:pPr>
      <w:r>
        <w:rPr>
          <w:rFonts w:hint="eastAsia" w:ascii="宋体" w:hAnsi="宋体" w:cs="宋体"/>
          <w:b/>
          <w:bCs/>
          <w:sz w:val="24"/>
        </w:rPr>
        <w:t>十三、违约责任</w:t>
      </w:r>
    </w:p>
    <w:p w14:paraId="48342466">
      <w:pPr>
        <w:spacing w:line="360" w:lineRule="auto"/>
        <w:ind w:firstLine="480" w:firstLineChars="200"/>
        <w:rPr>
          <w:rFonts w:ascii="宋体" w:hAnsi="宋体" w:cs="宋体"/>
          <w:sz w:val="24"/>
        </w:rPr>
      </w:pPr>
      <w:r>
        <w:rPr>
          <w:rFonts w:hint="eastAsia" w:ascii="宋体" w:hAnsi="宋体" w:cs="宋体"/>
          <w:sz w:val="24"/>
        </w:rPr>
        <w:t>依据《中华人民共和国民法典》等相关条款和本合同约定，</w:t>
      </w:r>
      <w:r>
        <w:rPr>
          <w:rFonts w:hint="eastAsia" w:ascii="宋体" w:hAnsi="宋体" w:cs="宋体"/>
          <w:sz w:val="24"/>
          <w:lang w:eastAsia="zh-CN"/>
        </w:rPr>
        <w:t>中标</w:t>
      </w:r>
      <w:r>
        <w:rPr>
          <w:rFonts w:hint="eastAsia" w:ascii="宋体" w:hAnsi="宋体" w:cs="宋体"/>
          <w:sz w:val="24"/>
        </w:rPr>
        <w:t>供应商未全面履行合同义务或者发生违约，采购人会同采购代理机构有权终止合同，依法向</w:t>
      </w:r>
      <w:r>
        <w:rPr>
          <w:rFonts w:hint="eastAsia" w:ascii="宋体" w:hAnsi="宋体" w:cs="宋体"/>
          <w:sz w:val="24"/>
          <w:lang w:eastAsia="zh-CN"/>
        </w:rPr>
        <w:t>中标</w:t>
      </w:r>
      <w:r>
        <w:rPr>
          <w:rFonts w:hint="eastAsia" w:ascii="宋体" w:hAnsi="宋体" w:cs="宋体"/>
          <w:sz w:val="24"/>
        </w:rPr>
        <w:t>供应商进行经济索赔。采购人违约的，应当赔偿给</w:t>
      </w:r>
      <w:r>
        <w:rPr>
          <w:rFonts w:hint="eastAsia" w:ascii="宋体" w:hAnsi="宋体" w:cs="宋体"/>
          <w:sz w:val="24"/>
          <w:lang w:eastAsia="zh-CN"/>
        </w:rPr>
        <w:t>中标</w:t>
      </w:r>
      <w:r>
        <w:rPr>
          <w:rFonts w:hint="eastAsia" w:ascii="宋体" w:hAnsi="宋体" w:cs="宋体"/>
          <w:sz w:val="24"/>
        </w:rPr>
        <w:t>供应商造成的经济损失。</w:t>
      </w:r>
    </w:p>
    <w:p w14:paraId="6A672605">
      <w:pPr>
        <w:spacing w:line="360" w:lineRule="auto"/>
        <w:rPr>
          <w:rFonts w:ascii="宋体" w:hAnsi="宋体" w:cs="宋体"/>
          <w:b/>
          <w:bCs/>
          <w:sz w:val="24"/>
        </w:rPr>
      </w:pPr>
      <w:r>
        <w:rPr>
          <w:rFonts w:hint="eastAsia" w:ascii="宋体" w:hAnsi="宋体" w:cs="宋体"/>
          <w:b/>
          <w:bCs/>
          <w:sz w:val="24"/>
        </w:rPr>
        <w:t>十四、其他（在合同中具体明确）</w:t>
      </w:r>
    </w:p>
    <w:p w14:paraId="1C47DEA1">
      <w:pPr>
        <w:jc w:val="center"/>
        <w:rPr>
          <w:rFonts w:ascii="宋体" w:hAnsi="宋体" w:cs="宋体"/>
          <w:b/>
          <w:bCs/>
        </w:rPr>
      </w:pPr>
      <w:r>
        <w:rPr>
          <w:rFonts w:hint="eastAsia" w:ascii="宋体" w:hAnsi="宋体" w:cs="宋体"/>
          <w:b/>
          <w:bCs/>
        </w:rPr>
        <w:t>签署页</w:t>
      </w:r>
    </w:p>
    <w:p w14:paraId="1938C68C">
      <w:pPr>
        <w:pStyle w:val="3"/>
      </w:pPr>
    </w:p>
    <w:tbl>
      <w:tblPr>
        <w:tblStyle w:val="6"/>
        <w:tblW w:w="9223" w:type="dxa"/>
        <w:jc w:val="center"/>
        <w:tblLayout w:type="fixed"/>
        <w:tblCellMar>
          <w:top w:w="0" w:type="dxa"/>
          <w:left w:w="108" w:type="dxa"/>
          <w:bottom w:w="0" w:type="dxa"/>
          <w:right w:w="108" w:type="dxa"/>
        </w:tblCellMar>
      </w:tblPr>
      <w:tblGrid>
        <w:gridCol w:w="4469"/>
        <w:gridCol w:w="4754"/>
      </w:tblGrid>
      <w:tr w14:paraId="3E8C3F6B">
        <w:tblPrEx>
          <w:tblCellMar>
            <w:top w:w="0" w:type="dxa"/>
            <w:left w:w="108" w:type="dxa"/>
            <w:bottom w:w="0" w:type="dxa"/>
            <w:right w:w="108" w:type="dxa"/>
          </w:tblCellMar>
        </w:tblPrEx>
        <w:trPr>
          <w:trHeight w:val="593" w:hRule="atLeast"/>
          <w:jc w:val="center"/>
        </w:trPr>
        <w:tc>
          <w:tcPr>
            <w:tcW w:w="4469" w:type="dxa"/>
            <w:noWrap/>
            <w:vAlign w:val="center"/>
          </w:tcPr>
          <w:p w14:paraId="114571BF">
            <w:pPr>
              <w:spacing w:line="360" w:lineRule="auto"/>
              <w:jc w:val="left"/>
              <w:rPr>
                <w:rFonts w:ascii="宋体" w:hAnsi="宋体" w:cs="宋体"/>
                <w:sz w:val="24"/>
              </w:rPr>
            </w:pPr>
            <w:r>
              <w:rPr>
                <w:rFonts w:hint="eastAsia" w:ascii="宋体" w:hAnsi="宋体" w:cs="宋体"/>
                <w:sz w:val="24"/>
              </w:rPr>
              <w:t>甲  方</w:t>
            </w:r>
          </w:p>
        </w:tc>
        <w:tc>
          <w:tcPr>
            <w:tcW w:w="4754" w:type="dxa"/>
            <w:noWrap/>
            <w:vAlign w:val="center"/>
          </w:tcPr>
          <w:p w14:paraId="623DE700">
            <w:pPr>
              <w:spacing w:line="360" w:lineRule="auto"/>
              <w:jc w:val="left"/>
              <w:rPr>
                <w:rFonts w:ascii="宋体" w:hAnsi="宋体" w:cs="宋体"/>
                <w:sz w:val="24"/>
              </w:rPr>
            </w:pPr>
            <w:r>
              <w:rPr>
                <w:rFonts w:hint="eastAsia" w:ascii="宋体" w:hAnsi="宋体" w:cs="宋体"/>
                <w:sz w:val="24"/>
              </w:rPr>
              <w:t>乙  方</w:t>
            </w:r>
          </w:p>
        </w:tc>
      </w:tr>
      <w:tr w14:paraId="46DA7C6A">
        <w:tblPrEx>
          <w:tblCellMar>
            <w:top w:w="0" w:type="dxa"/>
            <w:left w:w="108" w:type="dxa"/>
            <w:bottom w:w="0" w:type="dxa"/>
            <w:right w:w="108" w:type="dxa"/>
          </w:tblCellMar>
        </w:tblPrEx>
        <w:trPr>
          <w:trHeight w:val="1010" w:hRule="atLeast"/>
          <w:jc w:val="center"/>
        </w:trPr>
        <w:tc>
          <w:tcPr>
            <w:tcW w:w="4469" w:type="dxa"/>
            <w:noWrap/>
            <w:vAlign w:val="center"/>
          </w:tcPr>
          <w:p w14:paraId="39E46E21">
            <w:pPr>
              <w:spacing w:line="360" w:lineRule="auto"/>
              <w:jc w:val="left"/>
              <w:rPr>
                <w:rFonts w:ascii="宋体" w:hAnsi="宋体" w:cs="宋体"/>
                <w:sz w:val="24"/>
              </w:rPr>
            </w:pPr>
            <w:r>
              <w:rPr>
                <w:rFonts w:hint="eastAsia" w:ascii="宋体" w:hAnsi="宋体" w:cs="宋体"/>
                <w:sz w:val="24"/>
              </w:rPr>
              <w:t>（盖章）</w:t>
            </w:r>
          </w:p>
        </w:tc>
        <w:tc>
          <w:tcPr>
            <w:tcW w:w="4754" w:type="dxa"/>
            <w:noWrap/>
            <w:vAlign w:val="center"/>
          </w:tcPr>
          <w:p w14:paraId="37827903">
            <w:pPr>
              <w:spacing w:line="360" w:lineRule="auto"/>
              <w:jc w:val="left"/>
              <w:rPr>
                <w:rFonts w:ascii="宋体" w:hAnsi="宋体" w:cs="宋体"/>
                <w:sz w:val="24"/>
              </w:rPr>
            </w:pPr>
            <w:r>
              <w:rPr>
                <w:rFonts w:hint="eastAsia" w:ascii="宋体" w:hAnsi="宋体" w:cs="宋体"/>
                <w:sz w:val="24"/>
                <w:lang w:eastAsia="zh-CN"/>
              </w:rPr>
              <w:t>中标</w:t>
            </w:r>
            <w:r>
              <w:rPr>
                <w:rFonts w:hint="eastAsia" w:ascii="宋体" w:hAnsi="宋体" w:cs="宋体"/>
                <w:sz w:val="24"/>
              </w:rPr>
              <w:t>供应商全称：</w:t>
            </w:r>
            <w:r>
              <w:rPr>
                <w:rFonts w:ascii="宋体" w:hAnsi="宋体" w:cs="宋体"/>
                <w:sz w:val="24"/>
              </w:rPr>
              <w:t xml:space="preserve"> </w:t>
            </w:r>
          </w:p>
          <w:p w14:paraId="75B9C533">
            <w:pPr>
              <w:spacing w:line="360" w:lineRule="auto"/>
              <w:jc w:val="left"/>
              <w:rPr>
                <w:rFonts w:ascii="宋体" w:hAnsi="宋体" w:cs="宋体"/>
                <w:sz w:val="24"/>
              </w:rPr>
            </w:pPr>
            <w:r>
              <w:rPr>
                <w:rFonts w:hint="eastAsia" w:ascii="宋体" w:hAnsi="宋体" w:cs="宋体"/>
                <w:sz w:val="24"/>
              </w:rPr>
              <w:t>（盖章）</w:t>
            </w:r>
          </w:p>
        </w:tc>
      </w:tr>
      <w:tr w14:paraId="5EBF0A10">
        <w:tblPrEx>
          <w:tblCellMar>
            <w:top w:w="0" w:type="dxa"/>
            <w:left w:w="108" w:type="dxa"/>
            <w:bottom w:w="0" w:type="dxa"/>
            <w:right w:w="108" w:type="dxa"/>
          </w:tblCellMar>
        </w:tblPrEx>
        <w:trPr>
          <w:trHeight w:val="593" w:hRule="atLeast"/>
          <w:jc w:val="center"/>
        </w:trPr>
        <w:tc>
          <w:tcPr>
            <w:tcW w:w="4469" w:type="dxa"/>
            <w:noWrap/>
            <w:vAlign w:val="center"/>
          </w:tcPr>
          <w:p w14:paraId="51B618A2">
            <w:pPr>
              <w:spacing w:line="360" w:lineRule="auto"/>
              <w:jc w:val="left"/>
              <w:rPr>
                <w:rFonts w:ascii="宋体" w:hAnsi="宋体" w:cs="宋体"/>
                <w:sz w:val="24"/>
              </w:rPr>
            </w:pPr>
            <w:r>
              <w:rPr>
                <w:rFonts w:hint="eastAsia" w:ascii="宋体" w:hAnsi="宋体" w:cs="宋体"/>
                <w:sz w:val="24"/>
              </w:rPr>
              <w:t>地址：</w:t>
            </w:r>
          </w:p>
        </w:tc>
        <w:tc>
          <w:tcPr>
            <w:tcW w:w="4754" w:type="dxa"/>
            <w:noWrap/>
            <w:vAlign w:val="center"/>
          </w:tcPr>
          <w:p w14:paraId="199F9E59">
            <w:pPr>
              <w:spacing w:line="360" w:lineRule="auto"/>
              <w:jc w:val="left"/>
              <w:rPr>
                <w:rFonts w:ascii="宋体" w:hAnsi="宋体" w:cs="宋体"/>
                <w:sz w:val="24"/>
              </w:rPr>
            </w:pPr>
            <w:r>
              <w:rPr>
                <w:rFonts w:hint="eastAsia" w:ascii="宋体" w:hAnsi="宋体" w:cs="宋体"/>
                <w:sz w:val="24"/>
              </w:rPr>
              <w:t>地址：</w:t>
            </w:r>
          </w:p>
        </w:tc>
      </w:tr>
      <w:tr w14:paraId="13943E0A">
        <w:tblPrEx>
          <w:tblCellMar>
            <w:top w:w="0" w:type="dxa"/>
            <w:left w:w="108" w:type="dxa"/>
            <w:bottom w:w="0" w:type="dxa"/>
            <w:right w:w="108" w:type="dxa"/>
          </w:tblCellMar>
        </w:tblPrEx>
        <w:trPr>
          <w:trHeight w:val="593" w:hRule="atLeast"/>
          <w:jc w:val="center"/>
        </w:trPr>
        <w:tc>
          <w:tcPr>
            <w:tcW w:w="4469" w:type="dxa"/>
            <w:noWrap/>
            <w:vAlign w:val="center"/>
          </w:tcPr>
          <w:p w14:paraId="7C344C91">
            <w:pPr>
              <w:spacing w:line="360" w:lineRule="auto"/>
              <w:jc w:val="left"/>
              <w:rPr>
                <w:rFonts w:ascii="宋体" w:hAnsi="宋体" w:cs="宋体"/>
                <w:sz w:val="24"/>
              </w:rPr>
            </w:pPr>
            <w:r>
              <w:rPr>
                <w:rFonts w:hint="eastAsia" w:ascii="宋体" w:hAnsi="宋体" w:cs="宋体"/>
                <w:sz w:val="24"/>
              </w:rPr>
              <w:t>邮编：</w:t>
            </w:r>
          </w:p>
        </w:tc>
        <w:tc>
          <w:tcPr>
            <w:tcW w:w="4754" w:type="dxa"/>
            <w:noWrap/>
            <w:vAlign w:val="center"/>
          </w:tcPr>
          <w:p w14:paraId="48825709">
            <w:pPr>
              <w:spacing w:line="360" w:lineRule="auto"/>
              <w:jc w:val="left"/>
              <w:rPr>
                <w:rFonts w:ascii="宋体" w:hAnsi="宋体" w:cs="宋体"/>
                <w:sz w:val="24"/>
              </w:rPr>
            </w:pPr>
            <w:r>
              <w:rPr>
                <w:rFonts w:hint="eastAsia" w:ascii="宋体" w:hAnsi="宋体" w:cs="宋体"/>
                <w:sz w:val="24"/>
              </w:rPr>
              <w:t>邮编：</w:t>
            </w:r>
          </w:p>
        </w:tc>
      </w:tr>
      <w:tr w14:paraId="2F04C309">
        <w:tblPrEx>
          <w:tblCellMar>
            <w:top w:w="0" w:type="dxa"/>
            <w:left w:w="108" w:type="dxa"/>
            <w:bottom w:w="0" w:type="dxa"/>
            <w:right w:w="108" w:type="dxa"/>
          </w:tblCellMar>
        </w:tblPrEx>
        <w:trPr>
          <w:trHeight w:val="593" w:hRule="atLeast"/>
          <w:jc w:val="center"/>
        </w:trPr>
        <w:tc>
          <w:tcPr>
            <w:tcW w:w="4469" w:type="dxa"/>
            <w:vMerge w:val="restart"/>
            <w:noWrap/>
            <w:vAlign w:val="center"/>
          </w:tcPr>
          <w:p w14:paraId="3034142C">
            <w:pPr>
              <w:spacing w:line="360" w:lineRule="auto"/>
              <w:jc w:val="left"/>
              <w:rPr>
                <w:rFonts w:ascii="宋体" w:hAnsi="宋体" w:cs="宋体"/>
                <w:sz w:val="24"/>
              </w:rPr>
            </w:pPr>
            <w:r>
              <w:rPr>
                <w:rFonts w:hint="eastAsia" w:ascii="宋体" w:hAnsi="宋体" w:cs="宋体"/>
                <w:sz w:val="24"/>
              </w:rPr>
              <w:t>全权代表：（签字）</w:t>
            </w:r>
          </w:p>
        </w:tc>
        <w:tc>
          <w:tcPr>
            <w:tcW w:w="4754" w:type="dxa"/>
            <w:noWrap/>
            <w:vAlign w:val="center"/>
          </w:tcPr>
          <w:p w14:paraId="3D9FB7BF">
            <w:pPr>
              <w:spacing w:line="360" w:lineRule="auto"/>
              <w:jc w:val="left"/>
              <w:rPr>
                <w:rFonts w:ascii="宋体" w:hAnsi="宋体" w:cs="宋体"/>
                <w:sz w:val="24"/>
              </w:rPr>
            </w:pPr>
            <w:r>
              <w:rPr>
                <w:rFonts w:hint="eastAsia" w:ascii="宋体" w:hAnsi="宋体" w:cs="宋体"/>
                <w:sz w:val="24"/>
              </w:rPr>
              <w:t>法定代表人：</w:t>
            </w:r>
          </w:p>
        </w:tc>
      </w:tr>
      <w:tr w14:paraId="41BFCA05">
        <w:tblPrEx>
          <w:tblCellMar>
            <w:top w:w="0" w:type="dxa"/>
            <w:left w:w="108" w:type="dxa"/>
            <w:bottom w:w="0" w:type="dxa"/>
            <w:right w:w="108" w:type="dxa"/>
          </w:tblCellMar>
        </w:tblPrEx>
        <w:trPr>
          <w:trHeight w:val="574" w:hRule="atLeast"/>
          <w:jc w:val="center"/>
        </w:trPr>
        <w:tc>
          <w:tcPr>
            <w:tcW w:w="4469" w:type="dxa"/>
            <w:vMerge w:val="continue"/>
            <w:noWrap/>
            <w:vAlign w:val="center"/>
          </w:tcPr>
          <w:p w14:paraId="0896F6F0">
            <w:pPr>
              <w:spacing w:line="360" w:lineRule="auto"/>
              <w:jc w:val="left"/>
              <w:rPr>
                <w:rFonts w:ascii="宋体" w:hAnsi="宋体" w:cs="宋体"/>
                <w:sz w:val="24"/>
              </w:rPr>
            </w:pPr>
          </w:p>
        </w:tc>
        <w:tc>
          <w:tcPr>
            <w:tcW w:w="4754" w:type="dxa"/>
            <w:noWrap/>
            <w:vAlign w:val="center"/>
          </w:tcPr>
          <w:p w14:paraId="12577806">
            <w:pPr>
              <w:spacing w:line="360" w:lineRule="auto"/>
              <w:jc w:val="left"/>
              <w:rPr>
                <w:rFonts w:ascii="宋体" w:hAnsi="宋体" w:cs="宋体"/>
                <w:sz w:val="24"/>
              </w:rPr>
            </w:pPr>
            <w:r>
              <w:rPr>
                <w:rFonts w:hint="eastAsia" w:ascii="宋体" w:hAnsi="宋体" w:cs="宋体"/>
                <w:sz w:val="24"/>
              </w:rPr>
              <w:t>被授权代表：（签字）</w:t>
            </w:r>
          </w:p>
        </w:tc>
      </w:tr>
      <w:tr w14:paraId="1CE735ED">
        <w:tblPrEx>
          <w:tblCellMar>
            <w:top w:w="0" w:type="dxa"/>
            <w:left w:w="108" w:type="dxa"/>
            <w:bottom w:w="0" w:type="dxa"/>
            <w:right w:w="108" w:type="dxa"/>
          </w:tblCellMar>
        </w:tblPrEx>
        <w:trPr>
          <w:trHeight w:val="593" w:hRule="atLeast"/>
          <w:jc w:val="center"/>
        </w:trPr>
        <w:tc>
          <w:tcPr>
            <w:tcW w:w="4469" w:type="dxa"/>
            <w:noWrap/>
            <w:vAlign w:val="center"/>
          </w:tcPr>
          <w:p w14:paraId="5279250B">
            <w:pPr>
              <w:spacing w:line="360" w:lineRule="auto"/>
              <w:jc w:val="left"/>
              <w:rPr>
                <w:rFonts w:ascii="宋体" w:hAnsi="宋体" w:cs="宋体"/>
                <w:sz w:val="24"/>
              </w:rPr>
            </w:pPr>
            <w:r>
              <w:rPr>
                <w:rFonts w:hint="eastAsia" w:ascii="宋体" w:hAnsi="宋体" w:cs="宋体"/>
                <w:sz w:val="24"/>
              </w:rPr>
              <w:t>电话：</w:t>
            </w:r>
          </w:p>
        </w:tc>
        <w:tc>
          <w:tcPr>
            <w:tcW w:w="4754" w:type="dxa"/>
            <w:noWrap/>
            <w:vAlign w:val="center"/>
          </w:tcPr>
          <w:p w14:paraId="7B6E307C">
            <w:pPr>
              <w:spacing w:line="360" w:lineRule="auto"/>
              <w:jc w:val="left"/>
              <w:rPr>
                <w:rFonts w:ascii="宋体" w:hAnsi="宋体" w:cs="宋体"/>
                <w:sz w:val="24"/>
              </w:rPr>
            </w:pPr>
            <w:r>
              <w:rPr>
                <w:rFonts w:hint="eastAsia" w:ascii="宋体" w:hAnsi="宋体" w:cs="宋体"/>
                <w:sz w:val="24"/>
              </w:rPr>
              <w:t>电话：</w:t>
            </w:r>
          </w:p>
        </w:tc>
      </w:tr>
      <w:tr w14:paraId="43B21066">
        <w:tblPrEx>
          <w:tblCellMar>
            <w:top w:w="0" w:type="dxa"/>
            <w:left w:w="108" w:type="dxa"/>
            <w:bottom w:w="0" w:type="dxa"/>
            <w:right w:w="108" w:type="dxa"/>
          </w:tblCellMar>
        </w:tblPrEx>
        <w:trPr>
          <w:trHeight w:val="593" w:hRule="atLeast"/>
          <w:jc w:val="center"/>
        </w:trPr>
        <w:tc>
          <w:tcPr>
            <w:tcW w:w="4469" w:type="dxa"/>
            <w:noWrap/>
            <w:vAlign w:val="center"/>
          </w:tcPr>
          <w:p w14:paraId="2A544A52">
            <w:pPr>
              <w:spacing w:line="360" w:lineRule="auto"/>
              <w:jc w:val="left"/>
              <w:rPr>
                <w:rFonts w:ascii="宋体" w:hAnsi="宋体" w:cs="宋体"/>
                <w:sz w:val="24"/>
              </w:rPr>
            </w:pPr>
            <w:r>
              <w:rPr>
                <w:rFonts w:hint="eastAsia" w:ascii="宋体" w:hAnsi="宋体" w:cs="宋体"/>
                <w:sz w:val="24"/>
              </w:rPr>
              <w:t>传真：</w:t>
            </w:r>
          </w:p>
        </w:tc>
        <w:tc>
          <w:tcPr>
            <w:tcW w:w="4754" w:type="dxa"/>
            <w:noWrap/>
            <w:vAlign w:val="center"/>
          </w:tcPr>
          <w:p w14:paraId="120BC2A3">
            <w:pPr>
              <w:spacing w:line="360" w:lineRule="auto"/>
              <w:jc w:val="left"/>
              <w:rPr>
                <w:rFonts w:ascii="宋体" w:hAnsi="宋体" w:cs="宋体"/>
                <w:sz w:val="24"/>
              </w:rPr>
            </w:pPr>
            <w:r>
              <w:rPr>
                <w:rFonts w:hint="eastAsia" w:ascii="宋体" w:hAnsi="宋体" w:cs="宋体"/>
                <w:sz w:val="24"/>
              </w:rPr>
              <w:t>传真：</w:t>
            </w:r>
          </w:p>
        </w:tc>
      </w:tr>
      <w:tr w14:paraId="6144E7A6">
        <w:tblPrEx>
          <w:tblCellMar>
            <w:top w:w="0" w:type="dxa"/>
            <w:left w:w="108" w:type="dxa"/>
            <w:bottom w:w="0" w:type="dxa"/>
            <w:right w:w="108" w:type="dxa"/>
          </w:tblCellMar>
        </w:tblPrEx>
        <w:trPr>
          <w:trHeight w:val="593" w:hRule="atLeast"/>
          <w:jc w:val="center"/>
        </w:trPr>
        <w:tc>
          <w:tcPr>
            <w:tcW w:w="4469" w:type="dxa"/>
            <w:noWrap/>
            <w:vAlign w:val="center"/>
          </w:tcPr>
          <w:p w14:paraId="2F700697">
            <w:pPr>
              <w:spacing w:line="360" w:lineRule="auto"/>
              <w:jc w:val="left"/>
              <w:rPr>
                <w:rFonts w:ascii="宋体" w:hAnsi="宋体" w:cs="宋体"/>
                <w:sz w:val="24"/>
              </w:rPr>
            </w:pPr>
          </w:p>
        </w:tc>
        <w:tc>
          <w:tcPr>
            <w:tcW w:w="4754" w:type="dxa"/>
            <w:noWrap/>
            <w:vAlign w:val="center"/>
          </w:tcPr>
          <w:p w14:paraId="6C816C3D">
            <w:pPr>
              <w:spacing w:line="360" w:lineRule="auto"/>
              <w:jc w:val="left"/>
              <w:rPr>
                <w:rFonts w:ascii="宋体" w:hAnsi="宋体" w:cs="宋体"/>
                <w:sz w:val="24"/>
              </w:rPr>
            </w:pPr>
            <w:r>
              <w:rPr>
                <w:rFonts w:hint="eastAsia" w:ascii="宋体" w:hAnsi="宋体" w:cs="宋体"/>
                <w:sz w:val="24"/>
              </w:rPr>
              <w:t>开户银行：</w:t>
            </w:r>
            <w:r>
              <w:rPr>
                <w:rFonts w:ascii="宋体" w:hAnsi="宋体" w:cs="宋体"/>
                <w:sz w:val="24"/>
              </w:rPr>
              <w:t xml:space="preserve"> </w:t>
            </w:r>
          </w:p>
        </w:tc>
      </w:tr>
      <w:tr w14:paraId="70C52518">
        <w:tblPrEx>
          <w:tblCellMar>
            <w:top w:w="0" w:type="dxa"/>
            <w:left w:w="108" w:type="dxa"/>
            <w:bottom w:w="0" w:type="dxa"/>
            <w:right w:w="108" w:type="dxa"/>
          </w:tblCellMar>
        </w:tblPrEx>
        <w:trPr>
          <w:trHeight w:val="574" w:hRule="atLeast"/>
          <w:jc w:val="center"/>
        </w:trPr>
        <w:tc>
          <w:tcPr>
            <w:tcW w:w="4469" w:type="dxa"/>
            <w:noWrap/>
            <w:vAlign w:val="center"/>
          </w:tcPr>
          <w:p w14:paraId="6BF8DFDA">
            <w:pPr>
              <w:spacing w:line="360" w:lineRule="auto"/>
              <w:jc w:val="left"/>
              <w:rPr>
                <w:rFonts w:ascii="宋体" w:hAnsi="宋体" w:cs="宋体"/>
                <w:sz w:val="24"/>
              </w:rPr>
            </w:pPr>
          </w:p>
        </w:tc>
        <w:tc>
          <w:tcPr>
            <w:tcW w:w="4754" w:type="dxa"/>
            <w:noWrap/>
            <w:vAlign w:val="center"/>
          </w:tcPr>
          <w:p w14:paraId="3197452D">
            <w:pPr>
              <w:spacing w:line="360" w:lineRule="auto"/>
              <w:jc w:val="left"/>
              <w:rPr>
                <w:rFonts w:ascii="宋体" w:hAnsi="宋体" w:cs="宋体"/>
                <w:sz w:val="24"/>
              </w:rPr>
            </w:pPr>
            <w:r>
              <w:rPr>
                <w:rFonts w:hint="eastAsia" w:ascii="宋体" w:hAnsi="宋体" w:cs="宋体"/>
                <w:sz w:val="24"/>
              </w:rPr>
              <w:t>账号：</w:t>
            </w:r>
          </w:p>
        </w:tc>
      </w:tr>
      <w:tr w14:paraId="258E7F21">
        <w:tblPrEx>
          <w:tblCellMar>
            <w:top w:w="0" w:type="dxa"/>
            <w:left w:w="108" w:type="dxa"/>
            <w:bottom w:w="0" w:type="dxa"/>
            <w:right w:w="108" w:type="dxa"/>
          </w:tblCellMar>
        </w:tblPrEx>
        <w:trPr>
          <w:trHeight w:val="626" w:hRule="atLeast"/>
          <w:jc w:val="center"/>
        </w:trPr>
        <w:tc>
          <w:tcPr>
            <w:tcW w:w="4469" w:type="dxa"/>
            <w:noWrap/>
            <w:vAlign w:val="center"/>
          </w:tcPr>
          <w:p w14:paraId="7D5B489A">
            <w:pPr>
              <w:spacing w:line="360" w:lineRule="auto"/>
              <w:jc w:val="left"/>
              <w:rPr>
                <w:rFonts w:ascii="宋体" w:hAnsi="宋体" w:cs="宋体"/>
                <w:sz w:val="24"/>
              </w:rPr>
            </w:pPr>
            <w:r>
              <w:rPr>
                <w:rFonts w:hint="eastAsia" w:ascii="宋体" w:hAnsi="宋体" w:cs="宋体"/>
                <w:sz w:val="24"/>
              </w:rPr>
              <w:t>日期：  年   月   日</w:t>
            </w:r>
          </w:p>
        </w:tc>
        <w:tc>
          <w:tcPr>
            <w:tcW w:w="4754" w:type="dxa"/>
            <w:noWrap/>
            <w:vAlign w:val="center"/>
          </w:tcPr>
          <w:p w14:paraId="3B404EA2">
            <w:pPr>
              <w:spacing w:line="360" w:lineRule="auto"/>
              <w:jc w:val="left"/>
              <w:rPr>
                <w:rFonts w:ascii="宋体" w:hAnsi="宋体" w:cs="宋体"/>
                <w:sz w:val="24"/>
              </w:rPr>
            </w:pPr>
            <w:r>
              <w:rPr>
                <w:rFonts w:hint="eastAsia" w:ascii="宋体" w:hAnsi="宋体" w:cs="宋体"/>
                <w:sz w:val="24"/>
              </w:rPr>
              <w:t>日期：  年   月   日</w:t>
            </w:r>
          </w:p>
        </w:tc>
      </w:tr>
    </w:tbl>
    <w:p w14:paraId="6469E8DF"/>
    <w:p w14:paraId="1E4AC112"/>
    <w:p w14:paraId="32D931B7"/>
    <w:p w14:paraId="6D92FD8A"/>
    <w:p w14:paraId="538D802A"/>
    <w:p w14:paraId="6A3382FD"/>
    <w:p w14:paraId="64B93973"/>
    <w:p w14:paraId="56B03543"/>
    <w:p w14:paraId="0EBCAD01"/>
    <w:p w14:paraId="2AE64D8C"/>
    <w:p w14:paraId="0A068BDB"/>
    <w:p w14:paraId="4FA2A005"/>
    <w:p w14:paraId="09B151CA"/>
    <w:p w14:paraId="5A39E77C"/>
    <w:p w14:paraId="4811CEC7"/>
    <w:p w14:paraId="5551EACE"/>
    <w:p w14:paraId="0A0C2909"/>
    <w:p w14:paraId="0A98A8A3"/>
    <w:p w14:paraId="2DB88DB1"/>
    <w:p w14:paraId="19398192"/>
    <w:p w14:paraId="36F31002"/>
    <w:p w14:paraId="6F4E4CFE"/>
    <w:p w14:paraId="45433FC6"/>
    <w:p w14:paraId="408B73E0">
      <w:pPr>
        <w:rPr>
          <w:u w:val="single"/>
        </w:rPr>
      </w:pPr>
      <w:r>
        <w:rPr>
          <w:rFonts w:hint="eastAsia"/>
          <w:szCs w:val="21"/>
        </w:rPr>
        <w:t>项目编号</w:t>
      </w:r>
      <w:r>
        <w:rPr>
          <w:rFonts w:hint="eastAsia"/>
        </w:rPr>
        <w:t>：</w:t>
      </w:r>
      <w:r>
        <w:rPr>
          <w:rFonts w:hint="eastAsia"/>
          <w:u w:val="single"/>
        </w:rPr>
        <w:t xml:space="preserve">          </w:t>
      </w:r>
      <w:r>
        <w:rPr>
          <w:rFonts w:hint="eastAsia"/>
          <w:b/>
        </w:rPr>
        <w:t xml:space="preserve">   </w:t>
      </w:r>
      <w:r>
        <w:rPr>
          <w:rFonts w:hint="eastAsia"/>
        </w:rPr>
        <w:t xml:space="preserve">   </w:t>
      </w:r>
    </w:p>
    <w:p w14:paraId="1A30EB6D"/>
    <w:p w14:paraId="01166205"/>
    <w:p w14:paraId="154538FB"/>
    <w:p w14:paraId="400BE07E"/>
    <w:p w14:paraId="713A5680">
      <w:pPr>
        <w:jc w:val="center"/>
        <w:rPr>
          <w:rFonts w:hint="eastAsia"/>
          <w:b/>
          <w:bCs/>
          <w:sz w:val="84"/>
          <w:szCs w:val="84"/>
        </w:rPr>
      </w:pPr>
      <w:r>
        <w:rPr>
          <w:rFonts w:hint="eastAsia"/>
          <w:b/>
          <w:bCs/>
          <w:sz w:val="84"/>
          <w:szCs w:val="84"/>
        </w:rPr>
        <w:t>合 同 书</w:t>
      </w:r>
    </w:p>
    <w:p w14:paraId="48D2EFFB">
      <w:pPr>
        <w:jc w:val="center"/>
        <w:rPr>
          <w:rFonts w:hint="default"/>
          <w:b/>
          <w:bCs/>
          <w:sz w:val="84"/>
          <w:szCs w:val="84"/>
          <w:lang w:val="en-US" w:eastAsia="zh-CN"/>
        </w:rPr>
      </w:pPr>
      <w:r>
        <w:rPr>
          <w:rFonts w:hint="eastAsia"/>
          <w:b/>
          <w:bCs/>
          <w:sz w:val="84"/>
          <w:szCs w:val="84"/>
          <w:lang w:val="en-US" w:eastAsia="zh-CN"/>
        </w:rPr>
        <w:t>(尾菜处理设备</w:t>
      </w:r>
      <w:r>
        <w:rPr>
          <w:rFonts w:hint="eastAsia"/>
          <w:b/>
          <w:bCs/>
          <w:sz w:val="84"/>
          <w:szCs w:val="84"/>
          <w:lang w:val="en-US" w:eastAsia="zh-CN"/>
        </w:rPr>
        <w:t>)</w:t>
      </w:r>
    </w:p>
    <w:p w14:paraId="542CE161">
      <w:pPr>
        <w:widowControl/>
        <w:spacing w:line="360" w:lineRule="auto"/>
        <w:jc w:val="center"/>
        <w:rPr>
          <w:rFonts w:cs="宋体" w:asciiTheme="minorEastAsia" w:hAnsiTheme="minorEastAsia" w:eastAsiaTheme="minorEastAsia"/>
          <w:b/>
          <w:sz w:val="36"/>
          <w:szCs w:val="36"/>
          <w:u w:val="single"/>
        </w:rPr>
      </w:pPr>
    </w:p>
    <w:p w14:paraId="562A5BCC">
      <w:pPr>
        <w:widowControl/>
        <w:spacing w:line="360" w:lineRule="auto"/>
        <w:jc w:val="center"/>
        <w:rPr>
          <w:rFonts w:cs="宋体" w:asciiTheme="minorEastAsia" w:hAnsiTheme="minorEastAsia" w:eastAsiaTheme="minorEastAsia"/>
          <w:b/>
          <w:sz w:val="36"/>
          <w:szCs w:val="36"/>
          <w:u w:val="single"/>
        </w:rPr>
      </w:pPr>
    </w:p>
    <w:p w14:paraId="50C7B70B">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项目名称：</w:t>
      </w:r>
      <w:r>
        <w:rPr>
          <w:rFonts w:hint="eastAsia" w:cs="宋体" w:asciiTheme="minorEastAsia" w:hAnsiTheme="minorEastAsia" w:eastAsiaTheme="minorEastAsia"/>
          <w:bCs/>
          <w:sz w:val="32"/>
          <w:szCs w:val="32"/>
          <w:u w:val="single"/>
        </w:rPr>
        <w:t xml:space="preserve">                                </w:t>
      </w:r>
      <w:r>
        <w:rPr>
          <w:rFonts w:hint="eastAsia" w:cs="宋体" w:asciiTheme="minorEastAsia" w:hAnsiTheme="minorEastAsia" w:eastAsiaTheme="minorEastAsia"/>
          <w:bCs/>
          <w:sz w:val="32"/>
          <w:szCs w:val="32"/>
        </w:rPr>
        <w:t xml:space="preserve"> </w:t>
      </w:r>
      <w:r>
        <w:rPr>
          <w:rFonts w:cs="宋体" w:asciiTheme="minorEastAsia" w:hAnsiTheme="minorEastAsia" w:eastAsiaTheme="minorEastAsia"/>
          <w:bCs/>
          <w:sz w:val="32"/>
          <w:szCs w:val="32"/>
        </w:rPr>
        <w:t xml:space="preserve"> </w:t>
      </w:r>
    </w:p>
    <w:p w14:paraId="78C4F702">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甲方：</w:t>
      </w:r>
      <w:r>
        <w:rPr>
          <w:rFonts w:hint="eastAsia" w:cs="宋体" w:asciiTheme="minorEastAsia" w:hAnsiTheme="minorEastAsia" w:eastAsiaTheme="minorEastAsia"/>
          <w:bCs/>
          <w:sz w:val="32"/>
          <w:szCs w:val="32"/>
          <w:u w:val="single"/>
        </w:rPr>
        <w:t xml:space="preserve">                                    </w:t>
      </w:r>
    </w:p>
    <w:p w14:paraId="76EF0176">
      <w:pPr>
        <w:widowControl/>
        <w:spacing w:line="360" w:lineRule="auto"/>
        <w:rPr>
          <w:rFonts w:cs="宋体" w:asciiTheme="minorEastAsia" w:hAnsiTheme="minorEastAsia" w:eastAsiaTheme="minorEastAsia"/>
          <w:bCs/>
          <w:sz w:val="32"/>
          <w:szCs w:val="32"/>
        </w:rPr>
      </w:pPr>
    </w:p>
    <w:p w14:paraId="5CA503BC">
      <w:pPr>
        <w:widowControl/>
        <w:spacing w:line="360" w:lineRule="auto"/>
        <w:rPr>
          <w:rFonts w:cs="宋体" w:asciiTheme="minorEastAsia" w:hAnsiTheme="minorEastAsia" w:eastAsiaTheme="minorEastAsia"/>
          <w:bCs/>
          <w:sz w:val="32"/>
          <w:szCs w:val="32"/>
        </w:rPr>
      </w:pPr>
      <w:r>
        <w:rPr>
          <w:rFonts w:hint="eastAsia" w:cs="宋体" w:asciiTheme="minorEastAsia" w:hAnsiTheme="minorEastAsia" w:eastAsiaTheme="minorEastAsia"/>
          <w:bCs/>
          <w:sz w:val="32"/>
          <w:szCs w:val="32"/>
        </w:rPr>
        <w:t>乙方：</w:t>
      </w:r>
      <w:r>
        <w:rPr>
          <w:rFonts w:hint="eastAsia" w:cs="宋体" w:asciiTheme="minorEastAsia" w:hAnsiTheme="minorEastAsia" w:eastAsiaTheme="minorEastAsia"/>
          <w:bCs/>
          <w:sz w:val="32"/>
          <w:szCs w:val="32"/>
          <w:u w:val="single"/>
        </w:rPr>
        <w:t xml:space="preserve">                                       </w:t>
      </w:r>
      <w:r>
        <w:rPr>
          <w:rFonts w:cs="宋体" w:asciiTheme="minorEastAsia" w:hAnsiTheme="minorEastAsia" w:eastAsiaTheme="minorEastAsia"/>
          <w:bCs/>
          <w:sz w:val="32"/>
          <w:szCs w:val="32"/>
        </w:rPr>
        <w:t xml:space="preserve"> </w:t>
      </w:r>
    </w:p>
    <w:p w14:paraId="1DF6B390">
      <w:pPr>
        <w:widowControl/>
        <w:spacing w:line="360" w:lineRule="auto"/>
        <w:rPr>
          <w:rFonts w:cs="宋体" w:asciiTheme="minorEastAsia" w:hAnsiTheme="minorEastAsia" w:eastAsiaTheme="minorEastAsia"/>
          <w:bCs/>
          <w:sz w:val="32"/>
          <w:szCs w:val="32"/>
        </w:rPr>
      </w:pPr>
    </w:p>
    <w:p w14:paraId="36A67D9D">
      <w:pPr>
        <w:widowControl/>
        <w:spacing w:line="360" w:lineRule="auto"/>
        <w:rPr>
          <w:rFonts w:cs="宋体" w:asciiTheme="minorEastAsia" w:hAnsiTheme="minorEastAsia" w:eastAsiaTheme="minorEastAsia"/>
          <w:bCs/>
          <w:sz w:val="32"/>
          <w:szCs w:val="32"/>
        </w:rPr>
      </w:pPr>
    </w:p>
    <w:p w14:paraId="72710304">
      <w:pPr>
        <w:widowControl/>
        <w:spacing w:line="360" w:lineRule="auto"/>
        <w:rPr>
          <w:rFonts w:cs="宋体" w:asciiTheme="minorEastAsia" w:hAnsiTheme="minorEastAsia" w:eastAsiaTheme="minorEastAsia"/>
          <w:bCs/>
          <w:sz w:val="32"/>
          <w:szCs w:val="32"/>
        </w:rPr>
      </w:pPr>
    </w:p>
    <w:p w14:paraId="2EF54910">
      <w:pPr>
        <w:widowControl/>
        <w:spacing w:line="360" w:lineRule="auto"/>
        <w:rPr>
          <w:rFonts w:cs="宋体" w:asciiTheme="minorEastAsia" w:hAnsiTheme="minorEastAsia" w:eastAsiaTheme="minorEastAsia"/>
          <w:bCs/>
          <w:sz w:val="32"/>
          <w:szCs w:val="32"/>
          <w:u w:val="single"/>
        </w:rPr>
        <w:sectPr>
          <w:pgSz w:w="11906" w:h="16838"/>
          <w:pgMar w:top="1440" w:right="1800" w:bottom="1440" w:left="1800" w:header="851" w:footer="992" w:gutter="0"/>
          <w:cols w:space="425" w:num="1"/>
          <w:docGrid w:type="lines" w:linePitch="312" w:charSpace="0"/>
        </w:sectPr>
      </w:pPr>
      <w:r>
        <w:rPr>
          <w:rFonts w:hint="eastAsia" w:cs="宋体" w:asciiTheme="minorEastAsia" w:hAnsiTheme="minorEastAsia" w:eastAsiaTheme="minorEastAsia"/>
          <w:bCs/>
          <w:sz w:val="32"/>
          <w:szCs w:val="32"/>
        </w:rPr>
        <w:t>签订日期：</w:t>
      </w:r>
      <w:r>
        <w:rPr>
          <w:rFonts w:hint="eastAsia" w:cs="宋体" w:asciiTheme="minorEastAsia" w:hAnsiTheme="minorEastAsia" w:eastAsiaTheme="minorEastAsia"/>
          <w:bCs/>
          <w:sz w:val="32"/>
          <w:szCs w:val="32"/>
          <w:u w:val="single"/>
        </w:rPr>
        <w:t xml:space="preserve">      年    月   日</w:t>
      </w:r>
    </w:p>
    <w:p w14:paraId="4BC59F85">
      <w:pPr>
        <w:widowControl/>
        <w:spacing w:line="360" w:lineRule="auto"/>
        <w:jc w:val="left"/>
        <w:rPr>
          <w:rFonts w:ascii="宋体" w:hAnsi="宋体" w:cs="宋体"/>
          <w:color w:val="000000"/>
          <w:kern w:val="0"/>
          <w:sz w:val="24"/>
        </w:rPr>
      </w:pPr>
      <w:r>
        <w:rPr>
          <w:rFonts w:hint="eastAsia" w:ascii="宋体" w:hAnsi="宋体" w:cs="宋体"/>
          <w:color w:val="000000"/>
          <w:kern w:val="0"/>
          <w:sz w:val="24"/>
        </w:rPr>
        <w:t>甲  方：</w:t>
      </w:r>
      <w:r>
        <w:rPr>
          <w:rFonts w:hint="eastAsia" w:ascii="宋体" w:hAnsi="宋体" w:cs="宋体"/>
          <w:color w:val="000000"/>
          <w:kern w:val="0"/>
          <w:sz w:val="24"/>
          <w:u w:val="single"/>
        </w:rPr>
        <w:t xml:space="preserve">                              </w:t>
      </w:r>
      <w:r>
        <w:rPr>
          <w:rFonts w:ascii="宋体" w:hAnsi="宋体" w:cs="宋体"/>
          <w:color w:val="000000"/>
          <w:kern w:val="0"/>
          <w:sz w:val="24"/>
        </w:rPr>
        <w:t xml:space="preserve"> </w:t>
      </w:r>
    </w:p>
    <w:p w14:paraId="082597BF">
      <w:pPr>
        <w:rPr>
          <w:b/>
          <w:bCs/>
          <w:sz w:val="30"/>
          <w:szCs w:val="30"/>
          <w:u w:val="single"/>
        </w:rPr>
      </w:pPr>
      <w:r>
        <w:rPr>
          <w:rFonts w:hint="eastAsia" w:ascii="宋体" w:hAnsi="宋体" w:cs="宋体"/>
          <w:color w:val="000000"/>
          <w:kern w:val="0"/>
          <w:sz w:val="24"/>
        </w:rPr>
        <w:t>乙  方：</w:t>
      </w:r>
      <w:r>
        <w:rPr>
          <w:rFonts w:hint="eastAsia" w:ascii="宋体" w:hAnsi="宋体" w:cs="宋体"/>
          <w:color w:val="000000"/>
          <w:kern w:val="0"/>
          <w:sz w:val="24"/>
          <w:u w:val="single"/>
        </w:rPr>
        <w:t xml:space="preserve">                              </w:t>
      </w:r>
    </w:p>
    <w:p w14:paraId="6B7F166B">
      <w:pPr>
        <w:spacing w:line="360" w:lineRule="auto"/>
        <w:ind w:firstLine="480" w:firstLineChars="200"/>
        <w:rPr>
          <w:rFonts w:ascii="宋体" w:hAnsi="宋体" w:cs="宋体"/>
          <w:color w:val="auto"/>
          <w:kern w:val="0"/>
          <w:sz w:val="24"/>
        </w:rPr>
      </w:pPr>
      <w:r>
        <w:rPr>
          <w:rFonts w:hint="eastAsia" w:ascii="宋体" w:hAnsi="宋体" w:cs="宋体"/>
          <w:color w:val="auto"/>
          <w:sz w:val="24"/>
          <w:lang w:eastAsia="zh-CN"/>
        </w:rPr>
        <w:t>购置治污降霾车辆及设备</w:t>
      </w:r>
      <w:r>
        <w:rPr>
          <w:rFonts w:hint="eastAsia" w:ascii="宋体" w:hAnsi="宋体" w:cs="宋体"/>
          <w:color w:val="auto"/>
          <w:kern w:val="0"/>
          <w:sz w:val="24"/>
        </w:rPr>
        <w:t>（项目编号：</w:t>
      </w:r>
      <w:r>
        <w:rPr>
          <w:rFonts w:hint="eastAsia" w:ascii="宋体" w:hAnsi="宋体" w:cs="宋体"/>
          <w:color w:val="auto"/>
          <w:kern w:val="0"/>
          <w:sz w:val="24"/>
          <w:lang w:eastAsia="zh-CN"/>
        </w:rPr>
        <w:t>SXLZ-2025-118</w:t>
      </w:r>
      <w:r>
        <w:rPr>
          <w:rFonts w:hint="eastAsia" w:ascii="宋体" w:hAnsi="宋体" w:cs="宋体"/>
          <w:color w:val="auto"/>
          <w:kern w:val="0"/>
          <w:sz w:val="24"/>
        </w:rPr>
        <w:t>）</w:t>
      </w:r>
      <w:r>
        <w:rPr>
          <w:rFonts w:hint="eastAsia" w:ascii="宋体" w:hAnsi="宋体" w:cs="宋体"/>
          <w:color w:val="000000"/>
          <w:kern w:val="0"/>
          <w:sz w:val="24"/>
        </w:rPr>
        <w:t>，依据《中华人民共和国政府采购法》《中华人民共和国政府采购法实施条例》《政府采购货物和服务招标投标管理办法》《中华人民共和国民法典》以及</w:t>
      </w:r>
      <w:r>
        <w:rPr>
          <w:rFonts w:hint="eastAsia" w:ascii="宋体" w:hAnsi="宋体" w:cs="宋体"/>
          <w:color w:val="auto"/>
          <w:kern w:val="0"/>
          <w:sz w:val="24"/>
        </w:rPr>
        <w:t>本项目的</w:t>
      </w:r>
      <w:r>
        <w:rPr>
          <w:rFonts w:hint="eastAsia" w:ascii="宋体" w:hAnsi="宋体" w:cs="宋体"/>
          <w:color w:val="auto"/>
          <w:kern w:val="0"/>
          <w:sz w:val="24"/>
          <w:lang w:eastAsia="zh-CN"/>
        </w:rPr>
        <w:t>招标</w:t>
      </w:r>
      <w:r>
        <w:rPr>
          <w:rFonts w:hint="eastAsia" w:ascii="宋体" w:hAnsi="宋体" w:cs="宋体"/>
          <w:color w:val="auto"/>
          <w:kern w:val="0"/>
          <w:sz w:val="24"/>
        </w:rPr>
        <w:t>文件、</w:t>
      </w:r>
      <w:r>
        <w:rPr>
          <w:rFonts w:hint="eastAsia" w:ascii="宋体" w:hAnsi="宋体" w:cs="宋体"/>
          <w:color w:val="auto"/>
          <w:kern w:val="0"/>
          <w:sz w:val="24"/>
          <w:lang w:eastAsia="zh-CN"/>
        </w:rPr>
        <w:t>中标</w:t>
      </w:r>
      <w:r>
        <w:rPr>
          <w:rFonts w:hint="eastAsia" w:ascii="宋体" w:hAnsi="宋体" w:cs="宋体"/>
          <w:color w:val="auto"/>
          <w:kern w:val="0"/>
          <w:sz w:val="24"/>
        </w:rPr>
        <w:t>通知书，经甲、乙双方协商，达成如下条款。</w:t>
      </w:r>
    </w:p>
    <w:p w14:paraId="1B2DA72F">
      <w:pPr>
        <w:widowControl/>
        <w:spacing w:line="360" w:lineRule="auto"/>
        <w:jc w:val="left"/>
        <w:rPr>
          <w:rFonts w:ascii="宋体" w:hAnsi="宋体" w:cs="宋体"/>
          <w:b/>
          <w:bCs/>
          <w:color w:val="auto"/>
          <w:kern w:val="0"/>
          <w:sz w:val="24"/>
        </w:rPr>
      </w:pPr>
      <w:r>
        <w:rPr>
          <w:rFonts w:hint="eastAsia" w:ascii="宋体" w:hAnsi="宋体" w:cs="宋体"/>
          <w:b/>
          <w:bCs/>
          <w:color w:val="auto"/>
          <w:kern w:val="0"/>
          <w:sz w:val="24"/>
        </w:rPr>
        <w:t>一、合同标的物内容及数量、单价、金额</w:t>
      </w:r>
    </w:p>
    <w:tbl>
      <w:tblPr>
        <w:tblStyle w:val="6"/>
        <w:tblpPr w:leftFromText="180" w:rightFromText="180" w:vertAnchor="text" w:horzAnchor="page" w:tblpX="1181" w:tblpY="345"/>
        <w:tblOverlap w:val="never"/>
        <w:tblW w:w="9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1556"/>
        <w:gridCol w:w="1176"/>
        <w:gridCol w:w="1380"/>
        <w:gridCol w:w="1242"/>
        <w:gridCol w:w="843"/>
        <w:gridCol w:w="1363"/>
        <w:gridCol w:w="1361"/>
      </w:tblGrid>
      <w:tr w14:paraId="2B834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4" w:type="dxa"/>
            <w:tcBorders>
              <w:top w:val="single" w:color="auto" w:sz="4" w:space="0"/>
              <w:left w:val="single" w:color="auto" w:sz="4" w:space="0"/>
              <w:bottom w:val="single" w:color="auto" w:sz="4" w:space="0"/>
              <w:right w:val="single" w:color="auto" w:sz="4" w:space="0"/>
            </w:tcBorders>
            <w:noWrap/>
            <w:vAlign w:val="center"/>
          </w:tcPr>
          <w:p w14:paraId="4C499E70">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序号</w:t>
            </w:r>
          </w:p>
        </w:tc>
        <w:tc>
          <w:tcPr>
            <w:tcW w:w="1556" w:type="dxa"/>
            <w:tcBorders>
              <w:top w:val="single" w:color="auto" w:sz="4" w:space="0"/>
              <w:left w:val="single" w:color="auto" w:sz="4" w:space="0"/>
              <w:bottom w:val="single" w:color="auto" w:sz="4" w:space="0"/>
              <w:right w:val="single" w:color="auto" w:sz="4" w:space="0"/>
            </w:tcBorders>
            <w:noWrap/>
            <w:vAlign w:val="center"/>
          </w:tcPr>
          <w:p w14:paraId="63832029">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产品名称</w:t>
            </w:r>
          </w:p>
        </w:tc>
        <w:tc>
          <w:tcPr>
            <w:tcW w:w="1176" w:type="dxa"/>
            <w:tcBorders>
              <w:top w:val="single" w:color="auto" w:sz="4" w:space="0"/>
              <w:left w:val="single" w:color="auto" w:sz="4" w:space="0"/>
              <w:bottom w:val="single" w:color="auto" w:sz="4" w:space="0"/>
              <w:right w:val="single" w:color="auto" w:sz="4" w:space="0"/>
            </w:tcBorders>
            <w:noWrap/>
            <w:vAlign w:val="center"/>
          </w:tcPr>
          <w:p w14:paraId="0FA5CD29">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品牌</w:t>
            </w:r>
          </w:p>
        </w:tc>
        <w:tc>
          <w:tcPr>
            <w:tcW w:w="1380" w:type="dxa"/>
            <w:tcBorders>
              <w:top w:val="single" w:color="auto" w:sz="4" w:space="0"/>
              <w:left w:val="single" w:color="auto" w:sz="4" w:space="0"/>
              <w:bottom w:val="single" w:color="auto" w:sz="4" w:space="0"/>
              <w:right w:val="single" w:color="auto" w:sz="4" w:space="0"/>
            </w:tcBorders>
            <w:noWrap/>
            <w:vAlign w:val="center"/>
          </w:tcPr>
          <w:p w14:paraId="21A84BCF">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规格型号</w:t>
            </w:r>
          </w:p>
        </w:tc>
        <w:tc>
          <w:tcPr>
            <w:tcW w:w="1242" w:type="dxa"/>
            <w:tcBorders>
              <w:top w:val="single" w:color="auto" w:sz="4" w:space="0"/>
              <w:left w:val="single" w:color="auto" w:sz="4" w:space="0"/>
              <w:bottom w:val="single" w:color="auto" w:sz="4" w:space="0"/>
              <w:right w:val="single" w:color="auto" w:sz="4" w:space="0"/>
            </w:tcBorders>
            <w:noWrap/>
            <w:vAlign w:val="center"/>
          </w:tcPr>
          <w:p w14:paraId="16F4D756">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制造商</w:t>
            </w:r>
          </w:p>
        </w:tc>
        <w:tc>
          <w:tcPr>
            <w:tcW w:w="843" w:type="dxa"/>
            <w:tcBorders>
              <w:top w:val="single" w:color="auto" w:sz="4" w:space="0"/>
              <w:left w:val="single" w:color="auto" w:sz="4" w:space="0"/>
              <w:bottom w:val="single" w:color="auto" w:sz="4" w:space="0"/>
              <w:right w:val="single" w:color="auto" w:sz="4" w:space="0"/>
            </w:tcBorders>
            <w:noWrap/>
            <w:vAlign w:val="center"/>
          </w:tcPr>
          <w:p w14:paraId="5C705243">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数量</w:t>
            </w:r>
          </w:p>
        </w:tc>
        <w:tc>
          <w:tcPr>
            <w:tcW w:w="1363" w:type="dxa"/>
            <w:tcBorders>
              <w:top w:val="single" w:color="auto" w:sz="4" w:space="0"/>
              <w:left w:val="single" w:color="auto" w:sz="4" w:space="0"/>
              <w:bottom w:val="single" w:color="auto" w:sz="4" w:space="0"/>
              <w:right w:val="single" w:color="auto" w:sz="4" w:space="0"/>
            </w:tcBorders>
            <w:noWrap/>
            <w:vAlign w:val="center"/>
          </w:tcPr>
          <w:p w14:paraId="1C472B63">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单价（元）</w:t>
            </w:r>
          </w:p>
        </w:tc>
        <w:tc>
          <w:tcPr>
            <w:tcW w:w="1361" w:type="dxa"/>
            <w:tcBorders>
              <w:top w:val="single" w:color="auto" w:sz="4" w:space="0"/>
              <w:left w:val="single" w:color="auto" w:sz="4" w:space="0"/>
              <w:bottom w:val="single" w:color="auto" w:sz="4" w:space="0"/>
              <w:right w:val="single" w:color="auto" w:sz="4" w:space="0"/>
            </w:tcBorders>
            <w:noWrap/>
            <w:vAlign w:val="center"/>
          </w:tcPr>
          <w:p w14:paraId="0218A7A1">
            <w:pPr>
              <w:widowControl/>
              <w:spacing w:line="360" w:lineRule="auto"/>
              <w:jc w:val="center"/>
              <w:rPr>
                <w:rFonts w:ascii="宋体" w:hAnsi="宋体" w:cs="宋体"/>
                <w:b/>
                <w:bCs/>
                <w:color w:val="000000"/>
                <w:kern w:val="0"/>
                <w:sz w:val="24"/>
              </w:rPr>
            </w:pPr>
            <w:r>
              <w:rPr>
                <w:rFonts w:hint="eastAsia" w:ascii="宋体" w:hAnsi="宋体" w:cs="宋体"/>
                <w:b/>
                <w:bCs/>
                <w:color w:val="000000"/>
                <w:kern w:val="0"/>
                <w:sz w:val="24"/>
              </w:rPr>
              <w:t>金额（元）</w:t>
            </w:r>
          </w:p>
        </w:tc>
      </w:tr>
      <w:tr w14:paraId="16DF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784" w:type="dxa"/>
            <w:tcBorders>
              <w:top w:val="single" w:color="auto" w:sz="4" w:space="0"/>
              <w:left w:val="single" w:color="auto" w:sz="4" w:space="0"/>
              <w:bottom w:val="single" w:color="auto" w:sz="4" w:space="0"/>
              <w:right w:val="single" w:color="auto" w:sz="4" w:space="0"/>
            </w:tcBorders>
            <w:noWrap/>
            <w:vAlign w:val="center"/>
          </w:tcPr>
          <w:p w14:paraId="452326B6">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1</w:t>
            </w:r>
          </w:p>
        </w:tc>
        <w:tc>
          <w:tcPr>
            <w:tcW w:w="1556" w:type="dxa"/>
            <w:tcBorders>
              <w:top w:val="single" w:color="auto" w:sz="4" w:space="0"/>
              <w:left w:val="single" w:color="auto" w:sz="4" w:space="0"/>
              <w:bottom w:val="single" w:color="auto" w:sz="4" w:space="0"/>
              <w:right w:val="single" w:color="auto" w:sz="4" w:space="0"/>
            </w:tcBorders>
            <w:noWrap/>
            <w:vAlign w:val="center"/>
          </w:tcPr>
          <w:p w14:paraId="569DC5EA">
            <w:pPr>
              <w:widowControl/>
              <w:spacing w:line="360" w:lineRule="auto"/>
              <w:jc w:val="center"/>
              <w:rPr>
                <w:rFonts w:ascii="宋体" w:hAnsi="宋体" w:cs="宋体"/>
                <w:color w:val="000000"/>
                <w:kern w:val="0"/>
                <w:sz w:val="24"/>
              </w:rPr>
            </w:pPr>
          </w:p>
        </w:tc>
        <w:tc>
          <w:tcPr>
            <w:tcW w:w="1176" w:type="dxa"/>
            <w:tcBorders>
              <w:top w:val="single" w:color="auto" w:sz="4" w:space="0"/>
              <w:left w:val="single" w:color="auto" w:sz="4" w:space="0"/>
              <w:bottom w:val="single" w:color="auto" w:sz="4" w:space="0"/>
              <w:right w:val="single" w:color="auto" w:sz="4" w:space="0"/>
            </w:tcBorders>
            <w:noWrap/>
            <w:vAlign w:val="center"/>
          </w:tcPr>
          <w:p w14:paraId="21BD9ED7">
            <w:pPr>
              <w:widowControl/>
              <w:spacing w:line="360" w:lineRule="auto"/>
              <w:jc w:val="center"/>
              <w:rPr>
                <w:rFonts w:ascii="宋体" w:hAnsi="宋体" w:cs="宋体"/>
                <w:color w:val="000000"/>
                <w:kern w:val="0"/>
                <w:sz w:val="24"/>
              </w:rPr>
            </w:pPr>
          </w:p>
        </w:tc>
        <w:tc>
          <w:tcPr>
            <w:tcW w:w="1380" w:type="dxa"/>
            <w:tcBorders>
              <w:top w:val="single" w:color="auto" w:sz="4" w:space="0"/>
              <w:left w:val="single" w:color="auto" w:sz="4" w:space="0"/>
              <w:bottom w:val="single" w:color="auto" w:sz="4" w:space="0"/>
              <w:right w:val="single" w:color="auto" w:sz="4" w:space="0"/>
            </w:tcBorders>
            <w:noWrap/>
            <w:vAlign w:val="center"/>
          </w:tcPr>
          <w:p w14:paraId="0962E822">
            <w:pPr>
              <w:widowControl/>
              <w:spacing w:line="360" w:lineRule="auto"/>
              <w:jc w:val="center"/>
              <w:rPr>
                <w:rFonts w:ascii="宋体" w:hAnsi="宋体" w:cs="宋体"/>
                <w:color w:val="000000"/>
                <w:kern w:val="0"/>
                <w:sz w:val="24"/>
              </w:rPr>
            </w:pPr>
          </w:p>
        </w:tc>
        <w:tc>
          <w:tcPr>
            <w:tcW w:w="1242" w:type="dxa"/>
            <w:tcBorders>
              <w:top w:val="single" w:color="auto" w:sz="4" w:space="0"/>
              <w:left w:val="single" w:color="auto" w:sz="4" w:space="0"/>
              <w:bottom w:val="single" w:color="auto" w:sz="4" w:space="0"/>
              <w:right w:val="single" w:color="auto" w:sz="4" w:space="0"/>
            </w:tcBorders>
            <w:noWrap/>
            <w:vAlign w:val="center"/>
          </w:tcPr>
          <w:p w14:paraId="2ADD971E">
            <w:pPr>
              <w:widowControl/>
              <w:spacing w:line="360" w:lineRule="auto"/>
              <w:jc w:val="center"/>
              <w:rPr>
                <w:rFonts w:ascii="宋体" w:hAnsi="宋体" w:cs="宋体"/>
                <w:color w:val="000000"/>
                <w:kern w:val="0"/>
                <w:sz w:val="24"/>
              </w:rPr>
            </w:pPr>
          </w:p>
        </w:tc>
        <w:tc>
          <w:tcPr>
            <w:tcW w:w="843" w:type="dxa"/>
            <w:tcBorders>
              <w:top w:val="single" w:color="auto" w:sz="4" w:space="0"/>
              <w:left w:val="single" w:color="auto" w:sz="4" w:space="0"/>
              <w:bottom w:val="single" w:color="auto" w:sz="4" w:space="0"/>
              <w:right w:val="single" w:color="auto" w:sz="4" w:space="0"/>
            </w:tcBorders>
            <w:noWrap/>
            <w:vAlign w:val="center"/>
          </w:tcPr>
          <w:p w14:paraId="546519E5">
            <w:pPr>
              <w:widowControl/>
              <w:spacing w:line="360" w:lineRule="auto"/>
              <w:jc w:val="center"/>
              <w:rPr>
                <w:rFonts w:ascii="宋体" w:hAnsi="宋体" w:cs="宋体"/>
                <w:color w:val="000000"/>
                <w:kern w:val="0"/>
                <w:sz w:val="24"/>
              </w:rPr>
            </w:pPr>
          </w:p>
        </w:tc>
        <w:tc>
          <w:tcPr>
            <w:tcW w:w="1363" w:type="dxa"/>
            <w:tcBorders>
              <w:top w:val="single" w:color="auto" w:sz="4" w:space="0"/>
              <w:left w:val="single" w:color="auto" w:sz="4" w:space="0"/>
              <w:bottom w:val="single" w:color="auto" w:sz="4" w:space="0"/>
              <w:right w:val="single" w:color="auto" w:sz="4" w:space="0"/>
            </w:tcBorders>
            <w:noWrap/>
            <w:vAlign w:val="center"/>
          </w:tcPr>
          <w:p w14:paraId="1471D1E2">
            <w:pPr>
              <w:widowControl/>
              <w:spacing w:line="360" w:lineRule="auto"/>
              <w:jc w:val="center"/>
              <w:rPr>
                <w:rFonts w:ascii="宋体" w:hAnsi="宋体" w:cs="宋体"/>
                <w:color w:val="000000"/>
                <w:kern w:val="0"/>
                <w:sz w:val="24"/>
              </w:rPr>
            </w:pPr>
          </w:p>
        </w:tc>
        <w:tc>
          <w:tcPr>
            <w:tcW w:w="1361" w:type="dxa"/>
            <w:tcBorders>
              <w:top w:val="single" w:color="auto" w:sz="4" w:space="0"/>
              <w:left w:val="single" w:color="auto" w:sz="4" w:space="0"/>
              <w:bottom w:val="single" w:color="auto" w:sz="4" w:space="0"/>
              <w:right w:val="single" w:color="auto" w:sz="4" w:space="0"/>
            </w:tcBorders>
            <w:noWrap/>
            <w:vAlign w:val="center"/>
          </w:tcPr>
          <w:p w14:paraId="2BD4766C">
            <w:pPr>
              <w:widowControl/>
              <w:spacing w:line="360" w:lineRule="auto"/>
              <w:jc w:val="center"/>
              <w:rPr>
                <w:rFonts w:ascii="宋体" w:hAnsi="宋体" w:cs="宋体"/>
                <w:color w:val="000000"/>
                <w:kern w:val="0"/>
                <w:sz w:val="24"/>
              </w:rPr>
            </w:pPr>
          </w:p>
        </w:tc>
      </w:tr>
      <w:tr w14:paraId="6DB40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340" w:type="dxa"/>
            <w:gridSpan w:val="2"/>
            <w:vMerge w:val="restart"/>
            <w:tcBorders>
              <w:top w:val="single" w:color="auto" w:sz="4" w:space="0"/>
              <w:left w:val="single" w:color="auto" w:sz="4" w:space="0"/>
              <w:right w:val="single" w:color="auto" w:sz="4" w:space="0"/>
            </w:tcBorders>
            <w:noWrap/>
            <w:vAlign w:val="center"/>
          </w:tcPr>
          <w:p w14:paraId="57E92415">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合   计</w:t>
            </w:r>
          </w:p>
        </w:tc>
        <w:tc>
          <w:tcPr>
            <w:tcW w:w="2556" w:type="dxa"/>
            <w:gridSpan w:val="2"/>
            <w:tcBorders>
              <w:top w:val="single" w:color="auto" w:sz="4" w:space="0"/>
              <w:left w:val="single" w:color="auto" w:sz="4" w:space="0"/>
              <w:right w:val="single" w:color="auto" w:sz="4" w:space="0"/>
            </w:tcBorders>
            <w:noWrap/>
            <w:vAlign w:val="bottom"/>
          </w:tcPr>
          <w:p w14:paraId="476FE209">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大写（人民币）</w:t>
            </w:r>
          </w:p>
        </w:tc>
        <w:tc>
          <w:tcPr>
            <w:tcW w:w="4809" w:type="dxa"/>
            <w:gridSpan w:val="4"/>
            <w:tcBorders>
              <w:top w:val="single" w:color="auto" w:sz="4" w:space="0"/>
              <w:left w:val="single" w:color="auto" w:sz="4" w:space="0"/>
              <w:bottom w:val="single" w:color="auto" w:sz="4" w:space="0"/>
              <w:right w:val="single" w:color="auto" w:sz="4" w:space="0"/>
            </w:tcBorders>
            <w:noWrap/>
            <w:vAlign w:val="center"/>
          </w:tcPr>
          <w:p w14:paraId="3F191948">
            <w:pPr>
              <w:widowControl/>
              <w:spacing w:line="360" w:lineRule="auto"/>
              <w:jc w:val="left"/>
              <w:rPr>
                <w:rFonts w:ascii="宋体" w:hAnsi="宋体" w:cs="宋体"/>
                <w:color w:val="000000"/>
                <w:kern w:val="0"/>
                <w:sz w:val="24"/>
              </w:rPr>
            </w:pPr>
          </w:p>
        </w:tc>
      </w:tr>
      <w:tr w14:paraId="406BE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340" w:type="dxa"/>
            <w:gridSpan w:val="2"/>
            <w:vMerge w:val="continue"/>
            <w:tcBorders>
              <w:left w:val="single" w:color="auto" w:sz="4" w:space="0"/>
              <w:bottom w:val="single" w:color="auto" w:sz="4" w:space="0"/>
              <w:right w:val="single" w:color="auto" w:sz="4" w:space="0"/>
            </w:tcBorders>
            <w:noWrap/>
            <w:vAlign w:val="center"/>
          </w:tcPr>
          <w:p w14:paraId="40F203F0">
            <w:pPr>
              <w:widowControl/>
              <w:spacing w:line="360" w:lineRule="auto"/>
              <w:jc w:val="left"/>
              <w:rPr>
                <w:rFonts w:ascii="宋体" w:hAnsi="宋体" w:cs="宋体"/>
                <w:color w:val="000000"/>
                <w:kern w:val="0"/>
                <w:sz w:val="24"/>
              </w:rPr>
            </w:pPr>
          </w:p>
        </w:tc>
        <w:tc>
          <w:tcPr>
            <w:tcW w:w="2556" w:type="dxa"/>
            <w:gridSpan w:val="2"/>
            <w:tcBorders>
              <w:left w:val="single" w:color="auto" w:sz="4" w:space="0"/>
              <w:bottom w:val="single" w:color="auto" w:sz="4" w:space="0"/>
              <w:right w:val="single" w:color="auto" w:sz="4" w:space="0"/>
            </w:tcBorders>
            <w:noWrap/>
            <w:vAlign w:val="bottom"/>
          </w:tcPr>
          <w:p w14:paraId="6D4C40C0">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小写（人民币）</w:t>
            </w:r>
          </w:p>
        </w:tc>
        <w:tc>
          <w:tcPr>
            <w:tcW w:w="4809" w:type="dxa"/>
            <w:gridSpan w:val="4"/>
            <w:tcBorders>
              <w:top w:val="single" w:color="auto" w:sz="4" w:space="0"/>
              <w:left w:val="single" w:color="auto" w:sz="4" w:space="0"/>
              <w:bottom w:val="single" w:color="auto" w:sz="4" w:space="0"/>
              <w:right w:val="single" w:color="auto" w:sz="4" w:space="0"/>
            </w:tcBorders>
            <w:noWrap/>
            <w:vAlign w:val="center"/>
          </w:tcPr>
          <w:p w14:paraId="41150CA6">
            <w:pPr>
              <w:widowControl/>
              <w:spacing w:line="360" w:lineRule="auto"/>
              <w:jc w:val="left"/>
              <w:rPr>
                <w:rFonts w:ascii="宋体" w:hAnsi="宋体" w:cs="宋体"/>
                <w:color w:val="000000"/>
                <w:kern w:val="0"/>
                <w:sz w:val="24"/>
              </w:rPr>
            </w:pPr>
          </w:p>
        </w:tc>
      </w:tr>
    </w:tbl>
    <w:p w14:paraId="6925F268">
      <w:pPr>
        <w:widowControl/>
        <w:spacing w:line="360" w:lineRule="auto"/>
        <w:jc w:val="left"/>
        <w:rPr>
          <w:rFonts w:ascii="宋体" w:hAnsi="宋体" w:cs="宋体"/>
          <w:b/>
          <w:bCs/>
          <w:color w:val="000000"/>
          <w:kern w:val="0"/>
          <w:sz w:val="24"/>
        </w:rPr>
      </w:pPr>
      <w:r>
        <w:rPr>
          <w:rFonts w:hint="eastAsia" w:ascii="宋体" w:hAnsi="宋体" w:cs="宋体"/>
          <w:b/>
          <w:bCs/>
          <w:color w:val="000000"/>
          <w:kern w:val="0"/>
          <w:sz w:val="24"/>
        </w:rPr>
        <w:t>二、合同价款</w:t>
      </w:r>
    </w:p>
    <w:p w14:paraId="364269B1">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1、合同总价款为人民币（大写）：</w:t>
      </w: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u w:val="single"/>
        </w:rPr>
        <w:t xml:space="preserve">         </w:t>
      </w:r>
      <w:r>
        <w:rPr>
          <w:rFonts w:hint="eastAsia" w:ascii="宋体" w:hAnsi="宋体" w:cs="宋体"/>
          <w:color w:val="000000"/>
          <w:kern w:val="0"/>
          <w:sz w:val="24"/>
        </w:rPr>
        <w:t>元）。</w:t>
      </w:r>
    </w:p>
    <w:p w14:paraId="75C3458A">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2、合同总价包括：运输费、人工成本、安装费、调试费以及整车的保险，上户等一切费用、甲方无需再支付其他任何费用。</w:t>
      </w:r>
    </w:p>
    <w:p w14:paraId="4F728268">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3、合同总价一次性包死，不受市场价格变化因素的影响。</w:t>
      </w:r>
    </w:p>
    <w:p w14:paraId="2B37552F">
      <w:pPr>
        <w:spacing w:line="384" w:lineRule="auto"/>
        <w:ind w:firstLine="480" w:firstLineChars="200"/>
        <w:jc w:val="left"/>
        <w:rPr>
          <w:rFonts w:hint="eastAsia" w:ascii="宋体" w:hAnsi="宋体" w:eastAsia="宋体" w:cs="宋体"/>
          <w:color w:val="auto"/>
          <w:kern w:val="0"/>
          <w:sz w:val="24"/>
          <w:lang w:val="zh-CN"/>
        </w:rPr>
      </w:pPr>
      <w:r>
        <w:rPr>
          <w:rFonts w:hint="eastAsia" w:ascii="宋体" w:hAnsi="宋体" w:cs="宋体"/>
          <w:color w:val="000000"/>
          <w:kern w:val="0"/>
          <w:sz w:val="24"/>
        </w:rPr>
        <w:t>4、</w:t>
      </w:r>
      <w:r>
        <w:rPr>
          <w:rFonts w:hint="eastAsia" w:ascii="宋体" w:hAnsi="宋体"/>
          <w:sz w:val="24"/>
        </w:rPr>
        <w:t>付款条件（进</w:t>
      </w:r>
      <w:r>
        <w:rPr>
          <w:rFonts w:hint="eastAsia" w:ascii="宋体" w:hAnsi="宋体"/>
          <w:color w:val="auto"/>
          <w:sz w:val="24"/>
        </w:rPr>
        <w:t>度和方式）：</w:t>
      </w:r>
      <w:r>
        <w:rPr>
          <w:rFonts w:hint="eastAsia" w:ascii="宋体" w:hAnsi="宋体" w:eastAsia="宋体" w:cs="宋体"/>
          <w:color w:val="auto"/>
          <w:kern w:val="0"/>
          <w:sz w:val="24"/>
          <w:lang w:val="zh-CN"/>
        </w:rPr>
        <w:t>付款条件说明：货物交付并验收合格，项目资金到位，达到付款条件起90日内，支付合同总金额的100.00%。</w:t>
      </w:r>
    </w:p>
    <w:p w14:paraId="00B2B8DF">
      <w:pPr>
        <w:tabs>
          <w:tab w:val="left" w:pos="0"/>
          <w:tab w:val="left" w:pos="1365"/>
        </w:tabs>
        <w:spacing w:line="360" w:lineRule="auto"/>
        <w:rPr>
          <w:rFonts w:ascii="宋体"/>
          <w:b/>
          <w:sz w:val="24"/>
        </w:rPr>
      </w:pPr>
      <w:r>
        <w:rPr>
          <w:rFonts w:hint="eastAsia" w:ascii="宋体" w:hAnsi="宋体"/>
          <w:b/>
          <w:sz w:val="24"/>
        </w:rPr>
        <w:t>三、知识产权</w:t>
      </w:r>
    </w:p>
    <w:p w14:paraId="5F75E693">
      <w:pPr>
        <w:tabs>
          <w:tab w:val="left" w:pos="945"/>
        </w:tabs>
        <w:spacing w:line="360" w:lineRule="auto"/>
        <w:ind w:firstLine="480" w:firstLineChars="200"/>
        <w:rPr>
          <w:rFonts w:ascii="宋体"/>
          <w:bCs/>
          <w:sz w:val="24"/>
        </w:rPr>
      </w:pPr>
      <w:r>
        <w:rPr>
          <w:rFonts w:hint="eastAsia" w:ascii="宋体" w:hAnsi="宋体"/>
          <w:bCs/>
          <w:sz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14:paraId="384DBC8C">
      <w:pPr>
        <w:tabs>
          <w:tab w:val="left" w:pos="735"/>
        </w:tabs>
        <w:spacing w:line="360" w:lineRule="auto"/>
        <w:rPr>
          <w:rFonts w:ascii="宋体"/>
          <w:b/>
          <w:sz w:val="24"/>
        </w:rPr>
      </w:pPr>
      <w:r>
        <w:rPr>
          <w:rFonts w:hint="eastAsia" w:ascii="宋体" w:hAnsi="宋体"/>
          <w:b/>
          <w:sz w:val="24"/>
        </w:rPr>
        <w:t>四、质量要求与检验</w:t>
      </w:r>
    </w:p>
    <w:p w14:paraId="2B00B56F">
      <w:pPr>
        <w:tabs>
          <w:tab w:val="left" w:pos="525"/>
          <w:tab w:val="left" w:pos="1050"/>
          <w:tab w:val="left" w:pos="1155"/>
        </w:tabs>
        <w:spacing w:line="360" w:lineRule="auto"/>
        <w:ind w:firstLine="520" w:firstLineChars="217"/>
        <w:rPr>
          <w:rFonts w:ascii="宋体"/>
          <w:bCs/>
          <w:sz w:val="24"/>
        </w:rPr>
      </w:pPr>
      <w:r>
        <w:rPr>
          <w:rFonts w:ascii="宋体" w:hAnsi="宋体"/>
          <w:bCs/>
          <w:sz w:val="24"/>
        </w:rPr>
        <w:t>1</w:t>
      </w:r>
      <w:r>
        <w:rPr>
          <w:rFonts w:hint="eastAsia" w:ascii="宋体" w:hAnsi="宋体"/>
          <w:bCs/>
          <w:sz w:val="24"/>
        </w:rPr>
        <w:t>．乙方应严格按照</w:t>
      </w:r>
      <w:r>
        <w:rPr>
          <w:rFonts w:hint="eastAsia" w:ascii="宋体" w:hAnsi="宋体"/>
          <w:bCs/>
          <w:sz w:val="24"/>
          <w:lang w:eastAsia="zh-CN"/>
        </w:rPr>
        <w:t>招标</w:t>
      </w:r>
      <w:r>
        <w:rPr>
          <w:rFonts w:hint="eastAsia" w:ascii="宋体" w:hAnsi="宋体"/>
          <w:bCs/>
          <w:sz w:val="24"/>
        </w:rPr>
        <w:t>文件的有关规定和乙方投标文件提供合格的货物及服务。</w:t>
      </w:r>
    </w:p>
    <w:p w14:paraId="48D7E1DB">
      <w:pPr>
        <w:tabs>
          <w:tab w:val="left" w:pos="1050"/>
          <w:tab w:val="left" w:pos="1155"/>
        </w:tabs>
        <w:spacing w:line="360" w:lineRule="auto"/>
        <w:ind w:firstLine="520" w:firstLineChars="217"/>
        <w:rPr>
          <w:rFonts w:ascii="宋体"/>
          <w:bCs/>
          <w:sz w:val="24"/>
        </w:rPr>
      </w:pPr>
      <w:r>
        <w:rPr>
          <w:rFonts w:ascii="宋体" w:hAnsi="宋体"/>
          <w:bCs/>
          <w:sz w:val="24"/>
        </w:rPr>
        <w:t>2</w:t>
      </w:r>
      <w:r>
        <w:rPr>
          <w:rFonts w:hint="eastAsia" w:ascii="宋体" w:hAnsi="宋体"/>
          <w:bCs/>
          <w:sz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14:paraId="22CE88A7">
      <w:pPr>
        <w:tabs>
          <w:tab w:val="left" w:pos="420"/>
          <w:tab w:val="left" w:pos="1050"/>
          <w:tab w:val="left" w:pos="1155"/>
        </w:tabs>
        <w:spacing w:line="360" w:lineRule="auto"/>
        <w:ind w:firstLine="520" w:firstLineChars="217"/>
        <w:rPr>
          <w:rFonts w:ascii="宋体"/>
          <w:bCs/>
          <w:sz w:val="24"/>
        </w:rPr>
      </w:pPr>
      <w:r>
        <w:rPr>
          <w:rFonts w:ascii="宋体" w:hAnsi="宋体"/>
          <w:bCs/>
          <w:sz w:val="24"/>
        </w:rPr>
        <w:t>3</w:t>
      </w:r>
      <w:r>
        <w:rPr>
          <w:rFonts w:hint="eastAsia" w:ascii="宋体" w:hAnsi="宋体"/>
          <w:bCs/>
          <w:sz w:val="24"/>
        </w:rPr>
        <w:t>．货物的到货验收包括：数量、外观、质量、性能、随机备件、装箱单、质量证书等随机资料及包装完整无破损。</w:t>
      </w:r>
    </w:p>
    <w:p w14:paraId="36BA531F">
      <w:pPr>
        <w:spacing w:line="360" w:lineRule="auto"/>
        <w:ind w:firstLine="482" w:firstLineChars="200"/>
        <w:rPr>
          <w:rFonts w:hint="eastAsia" w:ascii="宋体" w:hAnsi="宋体"/>
          <w:b/>
          <w:sz w:val="24"/>
        </w:rPr>
      </w:pPr>
      <w:r>
        <w:rPr>
          <w:rFonts w:hint="eastAsia" w:ascii="宋体" w:hAnsi="宋体"/>
          <w:b/>
          <w:sz w:val="24"/>
          <w:lang w:val="en-US" w:eastAsia="zh-CN"/>
        </w:rPr>
        <w:t>五</w:t>
      </w:r>
      <w:r>
        <w:rPr>
          <w:rFonts w:hint="eastAsia" w:ascii="宋体" w:hAnsi="宋体"/>
          <w:b/>
          <w:sz w:val="24"/>
        </w:rPr>
        <w:t>、售后服务、质保期</w:t>
      </w:r>
    </w:p>
    <w:p w14:paraId="310F57AF">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1、供货期：合同签订后3天内。</w:t>
      </w:r>
    </w:p>
    <w:p w14:paraId="4ADD54C0">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2、质保期：5年，质保期间提供设备免费维修及免费更换零配件。</w:t>
      </w:r>
    </w:p>
    <w:p w14:paraId="7EBAFD4C">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3、人员服务：</w:t>
      </w:r>
    </w:p>
    <w:p w14:paraId="381AEA02">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为了保证鲁桥镇尾菜垃圾处理工作正常进行，供应商需提供3人免费服务团队进行保障服务，3人服务团队需驻场服务3年（鲁桥镇）。设备出现问题时，响应时间为1小时。</w:t>
      </w:r>
    </w:p>
    <w:p w14:paraId="4CF74006">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4、质量保证：</w:t>
      </w:r>
    </w:p>
    <w:p w14:paraId="5E00F28B">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 xml:space="preserve"> 供应商须对尾菜处理设备质量承诺，承诺其尾菜处理设备在每日连续工作10小时的平均产量需稳定在3～5 吨/小时。货物交付后，采购人组成验收小组实地考核设备实际产量，不定时抽检，如未达到要求，视为验收未通过。</w:t>
      </w:r>
    </w:p>
    <w:p w14:paraId="3C073C8E">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5、机器设备标准：</w:t>
      </w:r>
    </w:p>
    <w:p w14:paraId="78219638">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符合机械安全标准GB/720850--2025  A类</w:t>
      </w:r>
    </w:p>
    <w:p w14:paraId="0B2635DF">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6、尾菜烘干处理要求：</w:t>
      </w:r>
    </w:p>
    <w:p w14:paraId="57852578">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尾菜处理设备运行时要确保烘干均匀，避免局部过烘干或烘干不足，且烘干过程中不能产生异味或粉尘。（验收小组不定时抽检，如未达到要求，视为验收未通过。）</w:t>
      </w:r>
    </w:p>
    <w:p w14:paraId="32E4658C">
      <w:pPr>
        <w:tabs>
          <w:tab w:val="left" w:pos="525"/>
          <w:tab w:val="left" w:pos="1050"/>
          <w:tab w:val="left" w:pos="1155"/>
        </w:tabs>
        <w:spacing w:line="360" w:lineRule="auto"/>
        <w:ind w:firstLine="520" w:firstLineChars="217"/>
        <w:rPr>
          <w:rFonts w:hint="eastAsia" w:ascii="宋体" w:hAnsi="宋体"/>
          <w:bCs/>
          <w:sz w:val="24"/>
          <w:lang w:val="en-US" w:eastAsia="zh-CN"/>
        </w:rPr>
      </w:pPr>
      <w:r>
        <w:rPr>
          <w:rFonts w:hint="eastAsia" w:ascii="宋体" w:hAnsi="宋体"/>
          <w:bCs/>
          <w:sz w:val="24"/>
          <w:lang w:val="en-US" w:eastAsia="zh-CN"/>
        </w:rPr>
        <w:t>7、设备故障处置：</w:t>
      </w:r>
    </w:p>
    <w:p w14:paraId="5742E7E4">
      <w:pPr>
        <w:tabs>
          <w:tab w:val="left" w:pos="525"/>
          <w:tab w:val="left" w:pos="1050"/>
          <w:tab w:val="left" w:pos="1155"/>
        </w:tabs>
        <w:spacing w:line="360" w:lineRule="auto"/>
        <w:ind w:firstLine="520" w:firstLineChars="217"/>
        <w:rPr>
          <w:rFonts w:hint="eastAsia" w:ascii="宋体" w:hAnsi="宋体"/>
          <w:b/>
          <w:sz w:val="24"/>
        </w:rPr>
      </w:pPr>
      <w:r>
        <w:rPr>
          <w:rFonts w:hint="eastAsia" w:ascii="宋体" w:hAnsi="宋体"/>
          <w:bCs/>
          <w:sz w:val="24"/>
          <w:lang w:val="en-US" w:eastAsia="zh-CN"/>
        </w:rPr>
        <w:t xml:space="preserve"> 尾菜处理设备如果出现故障，需在三小时内维修完好，并能达到正常工作要求，确保尾菜处理不受影响。</w:t>
      </w:r>
    </w:p>
    <w:p w14:paraId="4F4EF5A8">
      <w:pPr>
        <w:spacing w:line="360" w:lineRule="auto"/>
        <w:ind w:firstLine="482" w:firstLineChars="200"/>
        <w:rPr>
          <w:rFonts w:ascii="宋体"/>
          <w:b/>
          <w:sz w:val="24"/>
        </w:rPr>
      </w:pPr>
      <w:r>
        <w:rPr>
          <w:rFonts w:hint="eastAsia" w:ascii="宋体" w:hAnsi="宋体"/>
          <w:b/>
          <w:sz w:val="24"/>
          <w:lang w:val="en-US" w:eastAsia="zh-CN"/>
        </w:rPr>
        <w:t>六</w:t>
      </w:r>
      <w:r>
        <w:rPr>
          <w:rFonts w:hint="eastAsia" w:ascii="宋体" w:hAnsi="宋体"/>
          <w:b/>
          <w:sz w:val="24"/>
        </w:rPr>
        <w:t>、违约责任：</w:t>
      </w:r>
    </w:p>
    <w:p w14:paraId="437EA0ED">
      <w:pPr>
        <w:numPr>
          <w:ilvl w:val="0"/>
          <w:numId w:val="5"/>
        </w:numPr>
        <w:tabs>
          <w:tab w:val="left" w:pos="0"/>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在履行合同的过程中，如果乙方遇到妨碍按时交货和提供服务的情况时，应及时以书面形式将拖延的事实、可能拖延的时间和原因通知甲方。甲方在收到乙方通知后，应尽快对情况进行核实，并有权根据情况确定是否酌情延长交货时间以及是否收取逾期交货的违约金及损害赔偿金（如有），或依照法律程序解除部分或全部合同。延期应通过签订补充合同的方式由双方认可并履行。</w:t>
      </w:r>
    </w:p>
    <w:p w14:paraId="00B9DD06">
      <w:pPr>
        <w:numPr>
          <w:ilvl w:val="0"/>
          <w:numId w:val="5"/>
        </w:numPr>
        <w:tabs>
          <w:tab w:val="left" w:pos="0"/>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如乙方逾期交货且未经甲方同意延长交货时间，除不可抗力外，每逾期一日，乙方应按照逾期交货金额的万分之五的标准累计计算向甲方支付违约金。逾期超过</w:t>
      </w:r>
      <w:r>
        <w:rPr>
          <w:rFonts w:ascii="宋体" w:hAnsi="宋体"/>
          <w:bCs/>
          <w:sz w:val="24"/>
        </w:rPr>
        <w:t>20</w:t>
      </w:r>
      <w:r>
        <w:rPr>
          <w:rFonts w:hint="eastAsia" w:ascii="宋体" w:hAnsi="宋体"/>
          <w:bCs/>
          <w:sz w:val="24"/>
        </w:rPr>
        <w:t>个工作日的，甲方有权依照法律程序解除合同，甲方如已支付费用的，乙方全部返还，且乙方应按照合同总价的</w:t>
      </w:r>
      <w:r>
        <w:rPr>
          <w:rFonts w:ascii="宋体" w:hAnsi="宋体"/>
          <w:bCs/>
          <w:sz w:val="24"/>
        </w:rPr>
        <w:t>30%</w:t>
      </w:r>
      <w:r>
        <w:rPr>
          <w:rFonts w:hint="eastAsia" w:ascii="宋体" w:hAnsi="宋体"/>
          <w:bCs/>
          <w:sz w:val="24"/>
        </w:rPr>
        <w:t>向甲方支付违约金，如给甲方造成损失的，还应赔偿损失。</w:t>
      </w:r>
    </w:p>
    <w:p w14:paraId="2576941D">
      <w:pPr>
        <w:numPr>
          <w:ilvl w:val="0"/>
          <w:numId w:val="5"/>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乙方如无不可抗力，又未履行</w:t>
      </w:r>
      <w:r>
        <w:rPr>
          <w:rFonts w:hint="eastAsia" w:ascii="宋体" w:hAnsi="宋体"/>
          <w:bCs/>
          <w:sz w:val="24"/>
          <w:lang w:eastAsia="zh-CN"/>
        </w:rPr>
        <w:t>招标</w:t>
      </w:r>
      <w:r>
        <w:rPr>
          <w:rFonts w:hint="eastAsia" w:ascii="宋体" w:hAnsi="宋体"/>
          <w:bCs/>
          <w:sz w:val="24"/>
        </w:rPr>
        <w:t>文件、投标文件和合同条款的，一经查实，由乙方赔偿由此给甲方造成的损失，并按照合同总价的</w:t>
      </w:r>
      <w:r>
        <w:rPr>
          <w:rFonts w:ascii="宋体" w:hAnsi="宋体"/>
          <w:bCs/>
          <w:sz w:val="24"/>
        </w:rPr>
        <w:t>30%</w:t>
      </w:r>
      <w:r>
        <w:rPr>
          <w:rFonts w:hint="eastAsia" w:ascii="宋体" w:hAnsi="宋体"/>
          <w:bCs/>
          <w:sz w:val="24"/>
        </w:rPr>
        <w:t>向甲方支付违约金，因招、投标产生的其他责任及后果按</w:t>
      </w:r>
      <w:r>
        <w:rPr>
          <w:rFonts w:hint="eastAsia" w:ascii="宋体" w:hAnsi="宋体"/>
          <w:bCs/>
          <w:sz w:val="24"/>
          <w:lang w:eastAsia="zh-CN"/>
        </w:rPr>
        <w:t>招标</w:t>
      </w:r>
      <w:r>
        <w:rPr>
          <w:rFonts w:hint="eastAsia" w:ascii="宋体" w:hAnsi="宋体"/>
          <w:bCs/>
          <w:sz w:val="24"/>
        </w:rPr>
        <w:t>文件的相关要求及处理方式执行。</w:t>
      </w:r>
    </w:p>
    <w:p w14:paraId="388852EA">
      <w:pPr>
        <w:numPr>
          <w:ilvl w:val="0"/>
          <w:numId w:val="5"/>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w:t>
      </w:r>
      <w:r>
        <w:rPr>
          <w:rFonts w:ascii="宋体" w:hAnsi="宋体"/>
          <w:bCs/>
          <w:sz w:val="24"/>
        </w:rPr>
        <w:t>20%</w:t>
      </w:r>
      <w:r>
        <w:rPr>
          <w:rFonts w:hint="eastAsia" w:ascii="宋体" w:hAnsi="宋体"/>
          <w:bCs/>
          <w:sz w:val="24"/>
        </w:rPr>
        <w:t>向甲方支付违约金，如给甲方造成其他损失的，乙方还应负责赔偿。</w:t>
      </w:r>
    </w:p>
    <w:p w14:paraId="4074362E">
      <w:pPr>
        <w:numPr>
          <w:ilvl w:val="0"/>
          <w:numId w:val="5"/>
        </w:numPr>
        <w:tabs>
          <w:tab w:val="left" w:pos="105"/>
          <w:tab w:val="left" w:pos="525"/>
          <w:tab w:val="left" w:pos="945"/>
          <w:tab w:val="clear" w:pos="315"/>
        </w:tabs>
        <w:spacing w:line="360" w:lineRule="auto"/>
        <w:ind w:left="0" w:firstLine="520" w:firstLineChars="217"/>
        <w:rPr>
          <w:rFonts w:ascii="宋体"/>
          <w:bCs/>
          <w:sz w:val="24"/>
        </w:rPr>
      </w:pPr>
      <w:r>
        <w:rPr>
          <w:rFonts w:hint="eastAsia" w:ascii="宋体" w:hAnsi="宋体"/>
          <w:bCs/>
          <w:sz w:val="24"/>
        </w:rPr>
        <w:t>如遭遇不可抗力事件，遭遇不可抗力的一方应尽快以书面形式将不可抗力的情况和原因通知另一方，并积极采取措施防止损失扩大。因不可抗力造成的损失，乙、甲双方按照法律规定处理。</w:t>
      </w:r>
    </w:p>
    <w:p w14:paraId="57EA99C9">
      <w:pPr>
        <w:numPr>
          <w:ilvl w:val="0"/>
          <w:numId w:val="5"/>
        </w:numPr>
        <w:tabs>
          <w:tab w:val="left" w:pos="105"/>
          <w:tab w:val="left" w:pos="525"/>
          <w:tab w:val="left" w:pos="945"/>
          <w:tab w:val="clear" w:pos="315"/>
        </w:tabs>
        <w:spacing w:line="360" w:lineRule="auto"/>
        <w:ind w:left="0" w:firstLine="520" w:firstLineChars="217"/>
        <w:rPr>
          <w:rFonts w:ascii="宋体" w:hAnsi="宋体" w:cs="宋体"/>
          <w:sz w:val="24"/>
        </w:rPr>
      </w:pPr>
      <w:r>
        <w:rPr>
          <w:rFonts w:hint="eastAsia" w:ascii="宋体" w:hAnsi="宋体"/>
          <w:bCs/>
          <w:sz w:val="24"/>
          <w:lang w:eastAsia="zh-CN"/>
        </w:rPr>
        <w:t>招标</w:t>
      </w:r>
      <w:r>
        <w:rPr>
          <w:rFonts w:hint="eastAsia" w:ascii="宋体" w:hAnsi="宋体"/>
          <w:bCs/>
          <w:sz w:val="24"/>
        </w:rPr>
        <w:t>文件及合同中所述之“不可抗力”系指不可预见、不可避免、不可克服的事件，包括但不限于：战争、洪水、台风、地震及其他法律法规规定的事件。</w:t>
      </w:r>
    </w:p>
    <w:p w14:paraId="1F87CF38">
      <w:pPr>
        <w:spacing w:line="360" w:lineRule="auto"/>
        <w:rPr>
          <w:rFonts w:ascii="宋体" w:hAnsi="宋体" w:cs="宋体"/>
          <w:b/>
          <w:bCs/>
          <w:sz w:val="24"/>
        </w:rPr>
      </w:pPr>
      <w:r>
        <w:rPr>
          <w:rFonts w:hint="eastAsia" w:ascii="宋体" w:hAnsi="宋体" w:cs="宋体"/>
          <w:b/>
          <w:bCs/>
          <w:sz w:val="24"/>
          <w:lang w:val="en-US" w:eastAsia="zh-CN"/>
        </w:rPr>
        <w:t>七</w:t>
      </w:r>
      <w:r>
        <w:rPr>
          <w:rFonts w:hint="eastAsia" w:ascii="宋体" w:hAnsi="宋体" w:cs="宋体"/>
          <w:b/>
          <w:bCs/>
          <w:sz w:val="24"/>
        </w:rPr>
        <w:t>、双方的权利和义务</w:t>
      </w:r>
    </w:p>
    <w:p w14:paraId="0E067A70">
      <w:pPr>
        <w:spacing w:line="360" w:lineRule="auto"/>
        <w:ind w:firstLine="480" w:firstLineChars="200"/>
        <w:rPr>
          <w:rFonts w:ascii="宋体" w:hAnsi="宋体" w:cs="宋体"/>
          <w:sz w:val="24"/>
        </w:rPr>
      </w:pPr>
      <w:r>
        <w:rPr>
          <w:rFonts w:hint="eastAsia" w:ascii="宋体" w:hAnsi="宋体" w:cs="宋体"/>
          <w:sz w:val="24"/>
        </w:rPr>
        <w:t>（一）甲方的权利和义务</w:t>
      </w:r>
    </w:p>
    <w:p w14:paraId="2E4836CB">
      <w:pPr>
        <w:spacing w:line="360" w:lineRule="auto"/>
        <w:ind w:firstLine="480" w:firstLineChars="200"/>
        <w:rPr>
          <w:rFonts w:ascii="宋体" w:hAnsi="宋体" w:cs="宋体"/>
          <w:sz w:val="24"/>
        </w:rPr>
      </w:pPr>
      <w:r>
        <w:rPr>
          <w:rFonts w:hint="eastAsia" w:ascii="宋体" w:hAnsi="宋体" w:cs="宋体"/>
          <w:sz w:val="24"/>
        </w:rPr>
        <w:t>1、甲方应积极配合乙方，并组织相关专家及技术人员进行产品的验收工作。</w:t>
      </w:r>
    </w:p>
    <w:p w14:paraId="724FFABB">
      <w:pPr>
        <w:spacing w:line="360" w:lineRule="auto"/>
        <w:ind w:firstLine="480" w:firstLineChars="200"/>
        <w:rPr>
          <w:rFonts w:ascii="宋体" w:hAnsi="宋体" w:cs="宋体"/>
          <w:sz w:val="24"/>
        </w:rPr>
      </w:pPr>
      <w:r>
        <w:rPr>
          <w:rFonts w:hint="eastAsia" w:ascii="宋体" w:hAnsi="宋体" w:cs="宋体"/>
          <w:sz w:val="24"/>
        </w:rPr>
        <w:t>2、甲方若发现存在潜在的产品质量安全问题，有权终止对产品进行验收，并以书面形式通知乙方和鉴证方。甲方有权要求乙方进行退货或换货处理。造成损失甲方有权要求乙方承担索赔、罚款。</w:t>
      </w:r>
    </w:p>
    <w:p w14:paraId="6F4478F9">
      <w:pPr>
        <w:spacing w:line="360" w:lineRule="auto"/>
        <w:ind w:firstLine="480" w:firstLineChars="200"/>
        <w:rPr>
          <w:rFonts w:ascii="宋体" w:hAnsi="宋体" w:cs="宋体"/>
          <w:sz w:val="24"/>
        </w:rPr>
      </w:pPr>
      <w:r>
        <w:rPr>
          <w:rFonts w:hint="eastAsia" w:ascii="宋体" w:hAnsi="宋体" w:cs="宋体"/>
          <w:sz w:val="24"/>
        </w:rPr>
        <w:t>（二）乙方的权利和义务</w:t>
      </w:r>
    </w:p>
    <w:p w14:paraId="1980A433">
      <w:pPr>
        <w:spacing w:line="360" w:lineRule="auto"/>
        <w:ind w:firstLine="480" w:firstLineChars="200"/>
        <w:rPr>
          <w:rFonts w:ascii="宋体" w:hAnsi="宋体" w:cs="宋体"/>
          <w:sz w:val="24"/>
        </w:rPr>
      </w:pPr>
      <w:r>
        <w:rPr>
          <w:rFonts w:hint="eastAsia" w:ascii="宋体" w:hAnsi="宋体" w:cs="宋体"/>
          <w:sz w:val="24"/>
        </w:rPr>
        <w:t>1、乙方提供产品必须是满足合同配置的全新产品。产品必须符合国家有关质量标准。</w:t>
      </w:r>
    </w:p>
    <w:p w14:paraId="48C1010D">
      <w:pPr>
        <w:spacing w:line="360" w:lineRule="auto"/>
        <w:ind w:firstLine="480" w:firstLineChars="200"/>
        <w:rPr>
          <w:rFonts w:ascii="宋体" w:hAnsi="宋体" w:cs="宋体"/>
          <w:sz w:val="24"/>
        </w:rPr>
      </w:pPr>
      <w:r>
        <w:rPr>
          <w:rFonts w:hint="eastAsia" w:ascii="宋体" w:hAnsi="宋体" w:cs="宋体"/>
          <w:sz w:val="24"/>
        </w:rPr>
        <w:t>2、乙方保证所供产品来源渠道合法，产品完全符合合同规定的质量、规格、技术指标等要求，提供产品出厂的资料及相关单证，并在合同规定期限内、外应对由于产品，供货渠道等的缺陷而产生的质量问题负责。</w:t>
      </w:r>
    </w:p>
    <w:p w14:paraId="454E1CE8">
      <w:pPr>
        <w:spacing w:line="360" w:lineRule="auto"/>
        <w:ind w:firstLine="480" w:firstLineChars="200"/>
        <w:rPr>
          <w:rFonts w:ascii="宋体" w:hAnsi="宋体" w:cs="宋体"/>
          <w:sz w:val="24"/>
        </w:rPr>
      </w:pPr>
      <w:r>
        <w:rPr>
          <w:rFonts w:hint="eastAsia" w:ascii="宋体" w:hAnsi="宋体" w:cs="宋体"/>
          <w:sz w:val="24"/>
        </w:rPr>
        <w:t>3、在质保期内，如果发现货物的质量、规格、技术指标等存在与合同中任何一项不符，采购人应在最短时间内，以书面形式向中标人提出索赔。同时通告采购代理机构。</w:t>
      </w:r>
    </w:p>
    <w:p w14:paraId="104A1569">
      <w:pPr>
        <w:spacing w:line="360" w:lineRule="auto"/>
        <w:ind w:firstLine="480" w:firstLineChars="200"/>
        <w:rPr>
          <w:rFonts w:ascii="宋体" w:hAnsi="宋体" w:cs="宋体"/>
          <w:sz w:val="24"/>
        </w:rPr>
      </w:pPr>
      <w:r>
        <w:rPr>
          <w:rFonts w:hint="eastAsia" w:ascii="宋体" w:hAnsi="宋体" w:cs="宋体"/>
          <w:sz w:val="24"/>
        </w:rPr>
        <w:t>4、乙方所供产品必须具有合法手续及相关文件。</w:t>
      </w:r>
    </w:p>
    <w:p w14:paraId="26DAFAFB">
      <w:pPr>
        <w:adjustRightInd w:val="0"/>
        <w:snapToGrid w:val="0"/>
        <w:spacing w:line="360" w:lineRule="auto"/>
        <w:rPr>
          <w:rFonts w:ascii="宋体" w:hAnsi="宋体" w:cs="宋体"/>
          <w:b/>
          <w:bCs/>
          <w:sz w:val="24"/>
        </w:rPr>
      </w:pPr>
      <w:r>
        <w:rPr>
          <w:rFonts w:hint="eastAsia" w:ascii="宋体" w:hAnsi="宋体" w:cs="宋体"/>
          <w:b/>
          <w:bCs/>
          <w:sz w:val="24"/>
          <w:lang w:val="en-US" w:eastAsia="zh-CN"/>
        </w:rPr>
        <w:t>八</w:t>
      </w:r>
      <w:r>
        <w:rPr>
          <w:rFonts w:hint="eastAsia" w:ascii="宋体" w:hAnsi="宋体" w:cs="宋体"/>
          <w:b/>
          <w:bCs/>
          <w:sz w:val="24"/>
        </w:rPr>
        <w:t>、验收</w:t>
      </w:r>
    </w:p>
    <w:p w14:paraId="52236278">
      <w:pPr>
        <w:spacing w:line="360" w:lineRule="auto"/>
        <w:ind w:firstLine="480" w:firstLineChars="200"/>
        <w:rPr>
          <w:rFonts w:ascii="宋体" w:hAnsi="宋体" w:cs="宋体"/>
          <w:sz w:val="24"/>
        </w:rPr>
      </w:pPr>
      <w:r>
        <w:rPr>
          <w:rFonts w:hint="eastAsia" w:ascii="宋体" w:hAnsi="宋体" w:cs="宋体"/>
          <w:sz w:val="24"/>
        </w:rPr>
        <w:t>1、由采购人实施验收。</w:t>
      </w:r>
    </w:p>
    <w:p w14:paraId="299A8A2D">
      <w:pPr>
        <w:spacing w:line="360" w:lineRule="auto"/>
        <w:ind w:firstLine="480" w:firstLineChars="200"/>
        <w:rPr>
          <w:rFonts w:ascii="宋体" w:hAnsi="宋体" w:cs="宋体"/>
          <w:sz w:val="24"/>
        </w:rPr>
      </w:pPr>
      <w:r>
        <w:rPr>
          <w:rFonts w:hint="eastAsia" w:ascii="宋体" w:hAnsi="宋体" w:cs="宋体"/>
          <w:sz w:val="24"/>
        </w:rPr>
        <w:t>2、验收依据：验收须以合同、</w:t>
      </w:r>
      <w:r>
        <w:rPr>
          <w:rFonts w:hint="eastAsia" w:ascii="宋体" w:hAnsi="宋体" w:cs="宋体"/>
          <w:sz w:val="24"/>
          <w:lang w:eastAsia="zh-CN"/>
        </w:rPr>
        <w:t>招标</w:t>
      </w:r>
      <w:r>
        <w:rPr>
          <w:rFonts w:hint="eastAsia" w:ascii="宋体" w:hAnsi="宋体" w:cs="宋体"/>
          <w:sz w:val="24"/>
        </w:rPr>
        <w:t>文件、响应文件、澄清及国家相应的标准、规范等为依据。</w:t>
      </w:r>
    </w:p>
    <w:p w14:paraId="6C645C6B">
      <w:pPr>
        <w:adjustRightInd w:val="0"/>
        <w:snapToGrid w:val="0"/>
        <w:spacing w:line="360" w:lineRule="auto"/>
        <w:rPr>
          <w:rFonts w:ascii="宋体" w:hAnsi="宋体" w:cs="宋体"/>
          <w:b/>
          <w:bCs/>
          <w:sz w:val="24"/>
        </w:rPr>
      </w:pPr>
      <w:r>
        <w:rPr>
          <w:rFonts w:hint="eastAsia" w:ascii="宋体" w:hAnsi="宋体" w:cs="宋体"/>
          <w:b/>
          <w:bCs/>
          <w:sz w:val="24"/>
          <w:lang w:val="en-US" w:eastAsia="zh-CN"/>
        </w:rPr>
        <w:t>九</w:t>
      </w:r>
      <w:r>
        <w:rPr>
          <w:rFonts w:hint="eastAsia" w:ascii="宋体" w:hAnsi="宋体" w:cs="宋体"/>
          <w:b/>
          <w:bCs/>
          <w:sz w:val="24"/>
        </w:rPr>
        <w:t>、合同争议的解决</w:t>
      </w:r>
    </w:p>
    <w:p w14:paraId="48412037">
      <w:pPr>
        <w:adjustRightInd w:val="0"/>
        <w:snapToGrid w:val="0"/>
        <w:spacing w:line="360" w:lineRule="auto"/>
        <w:ind w:firstLine="480" w:firstLineChars="200"/>
        <w:rPr>
          <w:rFonts w:ascii="宋体" w:hAnsi="宋体" w:cs="宋体"/>
          <w:sz w:val="24"/>
        </w:rPr>
      </w:pPr>
      <w:r>
        <w:rPr>
          <w:rFonts w:hint="eastAsia" w:ascii="宋体" w:hAnsi="宋体" w:cs="宋体"/>
          <w:sz w:val="24"/>
        </w:rPr>
        <w:t>合同执行中发生争议的，当事人双方应协商解决，协商达不成一致时，可向人民法院提请诉讼。</w:t>
      </w:r>
    </w:p>
    <w:p w14:paraId="3ABAF401">
      <w:pPr>
        <w:adjustRightInd w:val="0"/>
        <w:snapToGrid w:val="0"/>
        <w:spacing w:line="360" w:lineRule="auto"/>
        <w:rPr>
          <w:rFonts w:ascii="宋体" w:hAnsi="宋体" w:cs="宋体"/>
          <w:sz w:val="24"/>
        </w:rPr>
      </w:pPr>
      <w:r>
        <w:rPr>
          <w:rFonts w:hint="eastAsia" w:ascii="宋体" w:hAnsi="宋体" w:cs="宋体"/>
          <w:b/>
          <w:bCs/>
          <w:sz w:val="24"/>
        </w:rPr>
        <w:t>十、</w:t>
      </w:r>
      <w:r>
        <w:rPr>
          <w:rFonts w:hint="eastAsia" w:ascii="宋体" w:hAnsi="宋体" w:cs="宋体"/>
          <w:sz w:val="24"/>
        </w:rPr>
        <w:t>在发生不可抗力情况下的应对措施和解决办法。</w:t>
      </w:r>
    </w:p>
    <w:p w14:paraId="30A75611">
      <w:pPr>
        <w:spacing w:line="360" w:lineRule="auto"/>
        <w:rPr>
          <w:rFonts w:ascii="宋体" w:hAnsi="宋体" w:cs="宋体"/>
          <w:sz w:val="24"/>
        </w:rPr>
      </w:pPr>
      <w:r>
        <w:rPr>
          <w:rFonts w:hint="eastAsia" w:ascii="宋体" w:hAnsi="宋体" w:cs="宋体"/>
          <w:b/>
          <w:bCs/>
          <w:sz w:val="24"/>
        </w:rPr>
        <w:t>十</w:t>
      </w:r>
      <w:r>
        <w:rPr>
          <w:rFonts w:hint="eastAsia" w:ascii="宋体" w:hAnsi="宋体" w:cs="宋体"/>
          <w:b/>
          <w:bCs/>
          <w:sz w:val="24"/>
          <w:lang w:val="en-US" w:eastAsia="zh-CN"/>
        </w:rPr>
        <w:t>一</w:t>
      </w:r>
      <w:r>
        <w:rPr>
          <w:rFonts w:hint="eastAsia" w:ascii="宋体" w:hAnsi="宋体" w:cs="宋体"/>
          <w:b/>
          <w:bCs/>
          <w:sz w:val="24"/>
        </w:rPr>
        <w:t>、</w:t>
      </w:r>
      <w:r>
        <w:rPr>
          <w:rFonts w:hint="eastAsia" w:ascii="宋体" w:hAnsi="宋体" w:cs="宋体"/>
          <w:sz w:val="24"/>
        </w:rPr>
        <w:t>合同一经签订，不得擅自变更、中止或者终止合同。对确需变更、调整或者中止、终止合同的，应按规定履行相应的手续。</w:t>
      </w:r>
    </w:p>
    <w:p w14:paraId="363B2FF3">
      <w:pPr>
        <w:spacing w:line="360" w:lineRule="auto"/>
        <w:rPr>
          <w:rFonts w:ascii="宋体" w:hAnsi="宋体" w:cs="宋体"/>
          <w:b/>
          <w:bCs/>
          <w:sz w:val="24"/>
        </w:rPr>
      </w:pPr>
      <w:r>
        <w:rPr>
          <w:rFonts w:hint="eastAsia" w:ascii="宋体" w:hAnsi="宋体" w:cs="宋体"/>
          <w:b/>
          <w:bCs/>
          <w:sz w:val="24"/>
        </w:rPr>
        <w:t>十</w:t>
      </w:r>
      <w:r>
        <w:rPr>
          <w:rFonts w:hint="eastAsia" w:ascii="宋体" w:hAnsi="宋体" w:cs="宋体"/>
          <w:b/>
          <w:bCs/>
          <w:sz w:val="24"/>
          <w:lang w:val="en-US" w:eastAsia="zh-CN"/>
        </w:rPr>
        <w:t>二</w:t>
      </w:r>
      <w:r>
        <w:rPr>
          <w:rFonts w:hint="eastAsia" w:ascii="宋体" w:hAnsi="宋体" w:cs="宋体"/>
          <w:b/>
          <w:bCs/>
          <w:sz w:val="24"/>
        </w:rPr>
        <w:t>、违约责任</w:t>
      </w:r>
    </w:p>
    <w:p w14:paraId="06E01B7C">
      <w:pPr>
        <w:spacing w:line="360" w:lineRule="auto"/>
        <w:ind w:firstLine="480" w:firstLineChars="200"/>
        <w:rPr>
          <w:rFonts w:hint="eastAsia" w:ascii="宋体" w:hAnsi="宋体" w:cs="宋体"/>
          <w:sz w:val="24"/>
        </w:rPr>
      </w:pPr>
      <w:r>
        <w:rPr>
          <w:rFonts w:hint="eastAsia" w:ascii="宋体" w:hAnsi="宋体" w:cs="宋体"/>
          <w:sz w:val="24"/>
        </w:rPr>
        <w:t>依据《中华人民共和国民法典》等相关条款和本合同约定，</w:t>
      </w:r>
      <w:r>
        <w:rPr>
          <w:rFonts w:hint="eastAsia" w:ascii="宋体" w:hAnsi="宋体" w:cs="宋体"/>
          <w:sz w:val="24"/>
          <w:lang w:eastAsia="zh-CN"/>
        </w:rPr>
        <w:t>中标</w:t>
      </w:r>
      <w:r>
        <w:rPr>
          <w:rFonts w:hint="eastAsia" w:ascii="宋体" w:hAnsi="宋体" w:cs="宋体"/>
          <w:sz w:val="24"/>
        </w:rPr>
        <w:t>供应商未全面履行合同义务或者发生违约，采购人会同采购代理机构有权终止合同，依法向</w:t>
      </w:r>
      <w:r>
        <w:rPr>
          <w:rFonts w:hint="eastAsia" w:ascii="宋体" w:hAnsi="宋体" w:cs="宋体"/>
          <w:sz w:val="24"/>
          <w:lang w:eastAsia="zh-CN"/>
        </w:rPr>
        <w:t>中标</w:t>
      </w:r>
      <w:r>
        <w:rPr>
          <w:rFonts w:hint="eastAsia" w:ascii="宋体" w:hAnsi="宋体" w:cs="宋体"/>
          <w:sz w:val="24"/>
        </w:rPr>
        <w:t>供应商进行经济索赔。采购人违约的，应当赔偿给</w:t>
      </w:r>
      <w:r>
        <w:rPr>
          <w:rFonts w:hint="eastAsia" w:ascii="宋体" w:hAnsi="宋体" w:cs="宋体"/>
          <w:sz w:val="24"/>
          <w:lang w:eastAsia="zh-CN"/>
        </w:rPr>
        <w:t>中标</w:t>
      </w:r>
      <w:r>
        <w:rPr>
          <w:rFonts w:hint="eastAsia" w:ascii="宋体" w:hAnsi="宋体" w:cs="宋体"/>
          <w:sz w:val="24"/>
        </w:rPr>
        <w:t>供应商造成的经济损失。</w:t>
      </w:r>
    </w:p>
    <w:p w14:paraId="2E2782E6">
      <w:pPr>
        <w:spacing w:line="360" w:lineRule="auto"/>
        <w:ind w:firstLine="480" w:firstLineChars="200"/>
        <w:rPr>
          <w:rFonts w:hint="eastAsia" w:ascii="宋体" w:hAnsi="宋体" w:cs="宋体"/>
          <w:sz w:val="24"/>
        </w:rPr>
      </w:pPr>
    </w:p>
    <w:p w14:paraId="1D1EEEC0">
      <w:pPr>
        <w:spacing w:line="360" w:lineRule="auto"/>
        <w:ind w:firstLine="480" w:firstLineChars="200"/>
        <w:rPr>
          <w:rFonts w:hint="eastAsia" w:ascii="宋体" w:hAnsi="宋体" w:cs="宋体"/>
          <w:sz w:val="24"/>
        </w:rPr>
      </w:pPr>
    </w:p>
    <w:p w14:paraId="09FF841E">
      <w:pPr>
        <w:spacing w:line="360" w:lineRule="auto"/>
        <w:ind w:firstLine="480" w:firstLineChars="200"/>
        <w:rPr>
          <w:rFonts w:hint="eastAsia" w:ascii="宋体" w:hAnsi="宋体" w:cs="宋体"/>
          <w:sz w:val="24"/>
        </w:rPr>
      </w:pPr>
    </w:p>
    <w:p w14:paraId="311AC711">
      <w:pPr>
        <w:spacing w:line="360" w:lineRule="auto"/>
        <w:ind w:firstLine="480" w:firstLineChars="200"/>
        <w:rPr>
          <w:rFonts w:hint="eastAsia" w:ascii="宋体" w:hAnsi="宋体" w:cs="宋体"/>
          <w:sz w:val="24"/>
        </w:rPr>
      </w:pPr>
    </w:p>
    <w:p w14:paraId="12F7D38D">
      <w:pPr>
        <w:spacing w:line="360" w:lineRule="auto"/>
        <w:ind w:firstLine="480" w:firstLineChars="200"/>
        <w:rPr>
          <w:rFonts w:hint="eastAsia" w:ascii="宋体" w:hAnsi="宋体" w:cs="宋体"/>
          <w:sz w:val="24"/>
        </w:rPr>
      </w:pPr>
    </w:p>
    <w:p w14:paraId="7DC49499">
      <w:pPr>
        <w:spacing w:line="360" w:lineRule="auto"/>
        <w:ind w:firstLine="480" w:firstLineChars="200"/>
        <w:rPr>
          <w:rFonts w:hint="eastAsia" w:ascii="宋体" w:hAnsi="宋体" w:cs="宋体"/>
          <w:sz w:val="24"/>
        </w:rPr>
      </w:pPr>
    </w:p>
    <w:p w14:paraId="7634295A">
      <w:pPr>
        <w:spacing w:line="360" w:lineRule="auto"/>
        <w:ind w:firstLine="480" w:firstLineChars="200"/>
        <w:rPr>
          <w:rFonts w:hint="eastAsia" w:ascii="宋体" w:hAnsi="宋体" w:cs="宋体"/>
          <w:sz w:val="24"/>
        </w:rPr>
      </w:pPr>
    </w:p>
    <w:p w14:paraId="1E2A0400">
      <w:pPr>
        <w:spacing w:line="360" w:lineRule="auto"/>
        <w:ind w:firstLine="480" w:firstLineChars="200"/>
        <w:rPr>
          <w:rFonts w:hint="eastAsia" w:ascii="宋体" w:hAnsi="宋体" w:cs="宋体"/>
          <w:sz w:val="24"/>
        </w:rPr>
      </w:pPr>
    </w:p>
    <w:p w14:paraId="6E8CABC8">
      <w:pPr>
        <w:spacing w:line="360" w:lineRule="auto"/>
        <w:ind w:firstLine="480" w:firstLineChars="200"/>
        <w:rPr>
          <w:rFonts w:hint="eastAsia" w:ascii="宋体" w:hAnsi="宋体" w:cs="宋体"/>
          <w:sz w:val="24"/>
        </w:rPr>
      </w:pPr>
      <w:bookmarkStart w:id="5" w:name="_GoBack"/>
      <w:bookmarkEnd w:id="5"/>
    </w:p>
    <w:p w14:paraId="46E861DA">
      <w:pPr>
        <w:jc w:val="center"/>
        <w:rPr>
          <w:rFonts w:ascii="宋体" w:hAnsi="宋体" w:cs="宋体"/>
          <w:b/>
          <w:bCs/>
        </w:rPr>
      </w:pPr>
      <w:r>
        <w:rPr>
          <w:rFonts w:hint="eastAsia" w:ascii="宋体" w:hAnsi="宋体" w:cs="宋体"/>
          <w:b/>
          <w:bCs/>
        </w:rPr>
        <w:t>签署页</w:t>
      </w:r>
    </w:p>
    <w:p w14:paraId="008D9F96">
      <w:pPr>
        <w:pStyle w:val="3"/>
      </w:pPr>
    </w:p>
    <w:tbl>
      <w:tblPr>
        <w:tblStyle w:val="6"/>
        <w:tblW w:w="9223" w:type="dxa"/>
        <w:jc w:val="center"/>
        <w:tblLayout w:type="fixed"/>
        <w:tblCellMar>
          <w:top w:w="0" w:type="dxa"/>
          <w:left w:w="108" w:type="dxa"/>
          <w:bottom w:w="0" w:type="dxa"/>
          <w:right w:w="108" w:type="dxa"/>
        </w:tblCellMar>
      </w:tblPr>
      <w:tblGrid>
        <w:gridCol w:w="4469"/>
        <w:gridCol w:w="4754"/>
      </w:tblGrid>
      <w:tr w14:paraId="30770136">
        <w:tblPrEx>
          <w:tblCellMar>
            <w:top w:w="0" w:type="dxa"/>
            <w:left w:w="108" w:type="dxa"/>
            <w:bottom w:w="0" w:type="dxa"/>
            <w:right w:w="108" w:type="dxa"/>
          </w:tblCellMar>
        </w:tblPrEx>
        <w:trPr>
          <w:trHeight w:val="593" w:hRule="atLeast"/>
          <w:jc w:val="center"/>
        </w:trPr>
        <w:tc>
          <w:tcPr>
            <w:tcW w:w="4469" w:type="dxa"/>
            <w:noWrap/>
            <w:vAlign w:val="center"/>
          </w:tcPr>
          <w:p w14:paraId="48276936">
            <w:pPr>
              <w:spacing w:line="360" w:lineRule="auto"/>
              <w:jc w:val="left"/>
              <w:rPr>
                <w:rFonts w:ascii="宋体" w:hAnsi="宋体" w:cs="宋体"/>
                <w:sz w:val="24"/>
              </w:rPr>
            </w:pPr>
            <w:r>
              <w:rPr>
                <w:rFonts w:hint="eastAsia" w:ascii="宋体" w:hAnsi="宋体" w:cs="宋体"/>
                <w:sz w:val="24"/>
              </w:rPr>
              <w:t>甲  方</w:t>
            </w:r>
          </w:p>
        </w:tc>
        <w:tc>
          <w:tcPr>
            <w:tcW w:w="4754" w:type="dxa"/>
            <w:noWrap/>
            <w:vAlign w:val="center"/>
          </w:tcPr>
          <w:p w14:paraId="5C787D6E">
            <w:pPr>
              <w:spacing w:line="360" w:lineRule="auto"/>
              <w:jc w:val="left"/>
              <w:rPr>
                <w:rFonts w:ascii="宋体" w:hAnsi="宋体" w:cs="宋体"/>
                <w:sz w:val="24"/>
              </w:rPr>
            </w:pPr>
            <w:r>
              <w:rPr>
                <w:rFonts w:hint="eastAsia" w:ascii="宋体" w:hAnsi="宋体" w:cs="宋体"/>
                <w:sz w:val="24"/>
              </w:rPr>
              <w:t>乙  方</w:t>
            </w:r>
          </w:p>
        </w:tc>
      </w:tr>
      <w:tr w14:paraId="23639911">
        <w:tblPrEx>
          <w:tblCellMar>
            <w:top w:w="0" w:type="dxa"/>
            <w:left w:w="108" w:type="dxa"/>
            <w:bottom w:w="0" w:type="dxa"/>
            <w:right w:w="108" w:type="dxa"/>
          </w:tblCellMar>
        </w:tblPrEx>
        <w:trPr>
          <w:trHeight w:val="1010" w:hRule="atLeast"/>
          <w:jc w:val="center"/>
        </w:trPr>
        <w:tc>
          <w:tcPr>
            <w:tcW w:w="4469" w:type="dxa"/>
            <w:noWrap/>
            <w:vAlign w:val="center"/>
          </w:tcPr>
          <w:p w14:paraId="2DA22350">
            <w:pPr>
              <w:spacing w:line="360" w:lineRule="auto"/>
              <w:jc w:val="left"/>
              <w:rPr>
                <w:rFonts w:ascii="宋体" w:hAnsi="宋体" w:cs="宋体"/>
                <w:sz w:val="24"/>
              </w:rPr>
            </w:pPr>
            <w:r>
              <w:rPr>
                <w:rFonts w:hint="eastAsia" w:ascii="宋体" w:hAnsi="宋体" w:cs="宋体"/>
                <w:sz w:val="24"/>
              </w:rPr>
              <w:t>（盖章）</w:t>
            </w:r>
          </w:p>
        </w:tc>
        <w:tc>
          <w:tcPr>
            <w:tcW w:w="4754" w:type="dxa"/>
            <w:noWrap/>
            <w:vAlign w:val="center"/>
          </w:tcPr>
          <w:p w14:paraId="466C7555">
            <w:pPr>
              <w:spacing w:line="360" w:lineRule="auto"/>
              <w:jc w:val="left"/>
              <w:rPr>
                <w:rFonts w:ascii="宋体" w:hAnsi="宋体" w:cs="宋体"/>
                <w:sz w:val="24"/>
              </w:rPr>
            </w:pPr>
            <w:r>
              <w:rPr>
                <w:rFonts w:hint="eastAsia" w:ascii="宋体" w:hAnsi="宋体" w:cs="宋体"/>
                <w:sz w:val="24"/>
                <w:lang w:eastAsia="zh-CN"/>
              </w:rPr>
              <w:t>中标</w:t>
            </w:r>
            <w:r>
              <w:rPr>
                <w:rFonts w:hint="eastAsia" w:ascii="宋体" w:hAnsi="宋体" w:cs="宋体"/>
                <w:sz w:val="24"/>
              </w:rPr>
              <w:t>供应商全称：</w:t>
            </w:r>
            <w:r>
              <w:rPr>
                <w:rFonts w:ascii="宋体" w:hAnsi="宋体" w:cs="宋体"/>
                <w:sz w:val="24"/>
              </w:rPr>
              <w:t xml:space="preserve"> </w:t>
            </w:r>
          </w:p>
          <w:p w14:paraId="7AC0BE55">
            <w:pPr>
              <w:spacing w:line="360" w:lineRule="auto"/>
              <w:jc w:val="left"/>
              <w:rPr>
                <w:rFonts w:ascii="宋体" w:hAnsi="宋体" w:cs="宋体"/>
                <w:sz w:val="24"/>
              </w:rPr>
            </w:pPr>
            <w:r>
              <w:rPr>
                <w:rFonts w:hint="eastAsia" w:ascii="宋体" w:hAnsi="宋体" w:cs="宋体"/>
                <w:sz w:val="24"/>
              </w:rPr>
              <w:t>（盖章）</w:t>
            </w:r>
          </w:p>
        </w:tc>
      </w:tr>
      <w:tr w14:paraId="4889E943">
        <w:tblPrEx>
          <w:tblCellMar>
            <w:top w:w="0" w:type="dxa"/>
            <w:left w:w="108" w:type="dxa"/>
            <w:bottom w:w="0" w:type="dxa"/>
            <w:right w:w="108" w:type="dxa"/>
          </w:tblCellMar>
        </w:tblPrEx>
        <w:trPr>
          <w:trHeight w:val="593" w:hRule="atLeast"/>
          <w:jc w:val="center"/>
        </w:trPr>
        <w:tc>
          <w:tcPr>
            <w:tcW w:w="4469" w:type="dxa"/>
            <w:noWrap/>
            <w:vAlign w:val="center"/>
          </w:tcPr>
          <w:p w14:paraId="1141EA2B">
            <w:pPr>
              <w:spacing w:line="360" w:lineRule="auto"/>
              <w:jc w:val="left"/>
              <w:rPr>
                <w:rFonts w:ascii="宋体" w:hAnsi="宋体" w:cs="宋体"/>
                <w:sz w:val="24"/>
              </w:rPr>
            </w:pPr>
            <w:r>
              <w:rPr>
                <w:rFonts w:hint="eastAsia" w:ascii="宋体" w:hAnsi="宋体" w:cs="宋体"/>
                <w:sz w:val="24"/>
              </w:rPr>
              <w:t>地址：</w:t>
            </w:r>
          </w:p>
        </w:tc>
        <w:tc>
          <w:tcPr>
            <w:tcW w:w="4754" w:type="dxa"/>
            <w:noWrap/>
            <w:vAlign w:val="center"/>
          </w:tcPr>
          <w:p w14:paraId="2ACC16EF">
            <w:pPr>
              <w:spacing w:line="360" w:lineRule="auto"/>
              <w:jc w:val="left"/>
              <w:rPr>
                <w:rFonts w:ascii="宋体" w:hAnsi="宋体" w:cs="宋体"/>
                <w:sz w:val="24"/>
              </w:rPr>
            </w:pPr>
            <w:r>
              <w:rPr>
                <w:rFonts w:hint="eastAsia" w:ascii="宋体" w:hAnsi="宋体" w:cs="宋体"/>
                <w:sz w:val="24"/>
              </w:rPr>
              <w:t>地址：</w:t>
            </w:r>
          </w:p>
        </w:tc>
      </w:tr>
      <w:tr w14:paraId="55F58534">
        <w:tblPrEx>
          <w:tblCellMar>
            <w:top w:w="0" w:type="dxa"/>
            <w:left w:w="108" w:type="dxa"/>
            <w:bottom w:w="0" w:type="dxa"/>
            <w:right w:w="108" w:type="dxa"/>
          </w:tblCellMar>
        </w:tblPrEx>
        <w:trPr>
          <w:trHeight w:val="593" w:hRule="atLeast"/>
          <w:jc w:val="center"/>
        </w:trPr>
        <w:tc>
          <w:tcPr>
            <w:tcW w:w="4469" w:type="dxa"/>
            <w:noWrap/>
            <w:vAlign w:val="center"/>
          </w:tcPr>
          <w:p w14:paraId="46A24B24">
            <w:pPr>
              <w:spacing w:line="360" w:lineRule="auto"/>
              <w:jc w:val="left"/>
              <w:rPr>
                <w:rFonts w:ascii="宋体" w:hAnsi="宋体" w:cs="宋体"/>
                <w:sz w:val="24"/>
              </w:rPr>
            </w:pPr>
            <w:r>
              <w:rPr>
                <w:rFonts w:hint="eastAsia" w:ascii="宋体" w:hAnsi="宋体" w:cs="宋体"/>
                <w:sz w:val="24"/>
              </w:rPr>
              <w:t>邮编：</w:t>
            </w:r>
          </w:p>
        </w:tc>
        <w:tc>
          <w:tcPr>
            <w:tcW w:w="4754" w:type="dxa"/>
            <w:noWrap/>
            <w:vAlign w:val="center"/>
          </w:tcPr>
          <w:p w14:paraId="40CE5A56">
            <w:pPr>
              <w:spacing w:line="360" w:lineRule="auto"/>
              <w:jc w:val="left"/>
              <w:rPr>
                <w:rFonts w:ascii="宋体" w:hAnsi="宋体" w:cs="宋体"/>
                <w:sz w:val="24"/>
              </w:rPr>
            </w:pPr>
            <w:r>
              <w:rPr>
                <w:rFonts w:hint="eastAsia" w:ascii="宋体" w:hAnsi="宋体" w:cs="宋体"/>
                <w:sz w:val="24"/>
              </w:rPr>
              <w:t>邮编：</w:t>
            </w:r>
          </w:p>
        </w:tc>
      </w:tr>
      <w:tr w14:paraId="74FEFE1E">
        <w:tblPrEx>
          <w:tblCellMar>
            <w:top w:w="0" w:type="dxa"/>
            <w:left w:w="108" w:type="dxa"/>
            <w:bottom w:w="0" w:type="dxa"/>
            <w:right w:w="108" w:type="dxa"/>
          </w:tblCellMar>
        </w:tblPrEx>
        <w:trPr>
          <w:trHeight w:val="593" w:hRule="atLeast"/>
          <w:jc w:val="center"/>
        </w:trPr>
        <w:tc>
          <w:tcPr>
            <w:tcW w:w="4469" w:type="dxa"/>
            <w:vMerge w:val="restart"/>
            <w:noWrap/>
            <w:vAlign w:val="center"/>
          </w:tcPr>
          <w:p w14:paraId="32929C88">
            <w:pPr>
              <w:spacing w:line="360" w:lineRule="auto"/>
              <w:jc w:val="left"/>
              <w:rPr>
                <w:rFonts w:ascii="宋体" w:hAnsi="宋体" w:cs="宋体"/>
                <w:sz w:val="24"/>
              </w:rPr>
            </w:pPr>
            <w:r>
              <w:rPr>
                <w:rFonts w:hint="eastAsia" w:ascii="宋体" w:hAnsi="宋体" w:cs="宋体"/>
                <w:sz w:val="24"/>
              </w:rPr>
              <w:t>全权代表：（签字）</w:t>
            </w:r>
          </w:p>
        </w:tc>
        <w:tc>
          <w:tcPr>
            <w:tcW w:w="4754" w:type="dxa"/>
            <w:noWrap/>
            <w:vAlign w:val="center"/>
          </w:tcPr>
          <w:p w14:paraId="60E6821B">
            <w:pPr>
              <w:spacing w:line="360" w:lineRule="auto"/>
              <w:jc w:val="left"/>
              <w:rPr>
                <w:rFonts w:ascii="宋体" w:hAnsi="宋体" w:cs="宋体"/>
                <w:sz w:val="24"/>
              </w:rPr>
            </w:pPr>
            <w:r>
              <w:rPr>
                <w:rFonts w:hint="eastAsia" w:ascii="宋体" w:hAnsi="宋体" w:cs="宋体"/>
                <w:sz w:val="24"/>
              </w:rPr>
              <w:t>法定代表人：</w:t>
            </w:r>
          </w:p>
        </w:tc>
      </w:tr>
      <w:tr w14:paraId="2CC1E6FB">
        <w:tblPrEx>
          <w:tblCellMar>
            <w:top w:w="0" w:type="dxa"/>
            <w:left w:w="108" w:type="dxa"/>
            <w:bottom w:w="0" w:type="dxa"/>
            <w:right w:w="108" w:type="dxa"/>
          </w:tblCellMar>
        </w:tblPrEx>
        <w:trPr>
          <w:trHeight w:val="574" w:hRule="atLeast"/>
          <w:jc w:val="center"/>
        </w:trPr>
        <w:tc>
          <w:tcPr>
            <w:tcW w:w="4469" w:type="dxa"/>
            <w:vMerge w:val="continue"/>
            <w:noWrap/>
            <w:vAlign w:val="center"/>
          </w:tcPr>
          <w:p w14:paraId="6AEC15F2">
            <w:pPr>
              <w:spacing w:line="360" w:lineRule="auto"/>
              <w:jc w:val="left"/>
              <w:rPr>
                <w:rFonts w:ascii="宋体" w:hAnsi="宋体" w:cs="宋体"/>
                <w:sz w:val="24"/>
              </w:rPr>
            </w:pPr>
          </w:p>
        </w:tc>
        <w:tc>
          <w:tcPr>
            <w:tcW w:w="4754" w:type="dxa"/>
            <w:noWrap/>
            <w:vAlign w:val="center"/>
          </w:tcPr>
          <w:p w14:paraId="22BA00F5">
            <w:pPr>
              <w:spacing w:line="360" w:lineRule="auto"/>
              <w:jc w:val="left"/>
              <w:rPr>
                <w:rFonts w:ascii="宋体" w:hAnsi="宋体" w:cs="宋体"/>
                <w:sz w:val="24"/>
              </w:rPr>
            </w:pPr>
            <w:r>
              <w:rPr>
                <w:rFonts w:hint="eastAsia" w:ascii="宋体" w:hAnsi="宋体" w:cs="宋体"/>
                <w:sz w:val="24"/>
              </w:rPr>
              <w:t>被授权代表：（签字）</w:t>
            </w:r>
          </w:p>
        </w:tc>
      </w:tr>
      <w:tr w14:paraId="714213F2">
        <w:tblPrEx>
          <w:tblCellMar>
            <w:top w:w="0" w:type="dxa"/>
            <w:left w:w="108" w:type="dxa"/>
            <w:bottom w:w="0" w:type="dxa"/>
            <w:right w:w="108" w:type="dxa"/>
          </w:tblCellMar>
        </w:tblPrEx>
        <w:trPr>
          <w:trHeight w:val="593" w:hRule="atLeast"/>
          <w:jc w:val="center"/>
        </w:trPr>
        <w:tc>
          <w:tcPr>
            <w:tcW w:w="4469" w:type="dxa"/>
            <w:noWrap/>
            <w:vAlign w:val="center"/>
          </w:tcPr>
          <w:p w14:paraId="3CBC4405">
            <w:pPr>
              <w:spacing w:line="360" w:lineRule="auto"/>
              <w:jc w:val="left"/>
              <w:rPr>
                <w:rFonts w:ascii="宋体" w:hAnsi="宋体" w:cs="宋体"/>
                <w:sz w:val="24"/>
              </w:rPr>
            </w:pPr>
            <w:r>
              <w:rPr>
                <w:rFonts w:hint="eastAsia" w:ascii="宋体" w:hAnsi="宋体" w:cs="宋体"/>
                <w:sz w:val="24"/>
              </w:rPr>
              <w:t>电话：</w:t>
            </w:r>
          </w:p>
        </w:tc>
        <w:tc>
          <w:tcPr>
            <w:tcW w:w="4754" w:type="dxa"/>
            <w:noWrap/>
            <w:vAlign w:val="center"/>
          </w:tcPr>
          <w:p w14:paraId="0963E903">
            <w:pPr>
              <w:spacing w:line="360" w:lineRule="auto"/>
              <w:jc w:val="left"/>
              <w:rPr>
                <w:rFonts w:ascii="宋体" w:hAnsi="宋体" w:cs="宋体"/>
                <w:sz w:val="24"/>
              </w:rPr>
            </w:pPr>
            <w:r>
              <w:rPr>
                <w:rFonts w:hint="eastAsia" w:ascii="宋体" w:hAnsi="宋体" w:cs="宋体"/>
                <w:sz w:val="24"/>
              </w:rPr>
              <w:t>电话：</w:t>
            </w:r>
          </w:p>
        </w:tc>
      </w:tr>
      <w:tr w14:paraId="373EAF30">
        <w:tblPrEx>
          <w:tblCellMar>
            <w:top w:w="0" w:type="dxa"/>
            <w:left w:w="108" w:type="dxa"/>
            <w:bottom w:w="0" w:type="dxa"/>
            <w:right w:w="108" w:type="dxa"/>
          </w:tblCellMar>
        </w:tblPrEx>
        <w:trPr>
          <w:trHeight w:val="593" w:hRule="atLeast"/>
          <w:jc w:val="center"/>
        </w:trPr>
        <w:tc>
          <w:tcPr>
            <w:tcW w:w="4469" w:type="dxa"/>
            <w:noWrap/>
            <w:vAlign w:val="center"/>
          </w:tcPr>
          <w:p w14:paraId="3118B9D4">
            <w:pPr>
              <w:spacing w:line="360" w:lineRule="auto"/>
              <w:jc w:val="left"/>
              <w:rPr>
                <w:rFonts w:ascii="宋体" w:hAnsi="宋体" w:cs="宋体"/>
                <w:sz w:val="24"/>
              </w:rPr>
            </w:pPr>
            <w:r>
              <w:rPr>
                <w:rFonts w:hint="eastAsia" w:ascii="宋体" w:hAnsi="宋体" w:cs="宋体"/>
                <w:sz w:val="24"/>
              </w:rPr>
              <w:t>传真：</w:t>
            </w:r>
          </w:p>
        </w:tc>
        <w:tc>
          <w:tcPr>
            <w:tcW w:w="4754" w:type="dxa"/>
            <w:noWrap/>
            <w:vAlign w:val="center"/>
          </w:tcPr>
          <w:p w14:paraId="5A253B75">
            <w:pPr>
              <w:spacing w:line="360" w:lineRule="auto"/>
              <w:jc w:val="left"/>
              <w:rPr>
                <w:rFonts w:ascii="宋体" w:hAnsi="宋体" w:cs="宋体"/>
                <w:sz w:val="24"/>
              </w:rPr>
            </w:pPr>
            <w:r>
              <w:rPr>
                <w:rFonts w:hint="eastAsia" w:ascii="宋体" w:hAnsi="宋体" w:cs="宋体"/>
                <w:sz w:val="24"/>
              </w:rPr>
              <w:t>传真：</w:t>
            </w:r>
          </w:p>
        </w:tc>
      </w:tr>
      <w:tr w14:paraId="0CEB7EC2">
        <w:tblPrEx>
          <w:tblCellMar>
            <w:top w:w="0" w:type="dxa"/>
            <w:left w:w="108" w:type="dxa"/>
            <w:bottom w:w="0" w:type="dxa"/>
            <w:right w:w="108" w:type="dxa"/>
          </w:tblCellMar>
        </w:tblPrEx>
        <w:trPr>
          <w:trHeight w:val="593" w:hRule="atLeast"/>
          <w:jc w:val="center"/>
        </w:trPr>
        <w:tc>
          <w:tcPr>
            <w:tcW w:w="4469" w:type="dxa"/>
            <w:noWrap/>
            <w:vAlign w:val="center"/>
          </w:tcPr>
          <w:p w14:paraId="3286B7D7">
            <w:pPr>
              <w:spacing w:line="360" w:lineRule="auto"/>
              <w:jc w:val="left"/>
              <w:rPr>
                <w:rFonts w:ascii="宋体" w:hAnsi="宋体" w:cs="宋体"/>
                <w:sz w:val="24"/>
              </w:rPr>
            </w:pPr>
          </w:p>
        </w:tc>
        <w:tc>
          <w:tcPr>
            <w:tcW w:w="4754" w:type="dxa"/>
            <w:noWrap/>
            <w:vAlign w:val="center"/>
          </w:tcPr>
          <w:p w14:paraId="0426955A">
            <w:pPr>
              <w:spacing w:line="360" w:lineRule="auto"/>
              <w:jc w:val="left"/>
              <w:rPr>
                <w:rFonts w:ascii="宋体" w:hAnsi="宋体" w:cs="宋体"/>
                <w:sz w:val="24"/>
              </w:rPr>
            </w:pPr>
            <w:r>
              <w:rPr>
                <w:rFonts w:hint="eastAsia" w:ascii="宋体" w:hAnsi="宋体" w:cs="宋体"/>
                <w:sz w:val="24"/>
              </w:rPr>
              <w:t>开户银行：</w:t>
            </w:r>
            <w:r>
              <w:rPr>
                <w:rFonts w:ascii="宋体" w:hAnsi="宋体" w:cs="宋体"/>
                <w:sz w:val="24"/>
              </w:rPr>
              <w:t xml:space="preserve"> </w:t>
            </w:r>
          </w:p>
        </w:tc>
      </w:tr>
      <w:tr w14:paraId="25CF4A33">
        <w:tblPrEx>
          <w:tblCellMar>
            <w:top w:w="0" w:type="dxa"/>
            <w:left w:w="108" w:type="dxa"/>
            <w:bottom w:w="0" w:type="dxa"/>
            <w:right w:w="108" w:type="dxa"/>
          </w:tblCellMar>
        </w:tblPrEx>
        <w:trPr>
          <w:trHeight w:val="574" w:hRule="atLeast"/>
          <w:jc w:val="center"/>
        </w:trPr>
        <w:tc>
          <w:tcPr>
            <w:tcW w:w="4469" w:type="dxa"/>
            <w:noWrap/>
            <w:vAlign w:val="center"/>
          </w:tcPr>
          <w:p w14:paraId="027B5A9D">
            <w:pPr>
              <w:spacing w:line="360" w:lineRule="auto"/>
              <w:jc w:val="left"/>
              <w:rPr>
                <w:rFonts w:ascii="宋体" w:hAnsi="宋体" w:cs="宋体"/>
                <w:sz w:val="24"/>
              </w:rPr>
            </w:pPr>
          </w:p>
        </w:tc>
        <w:tc>
          <w:tcPr>
            <w:tcW w:w="4754" w:type="dxa"/>
            <w:noWrap/>
            <w:vAlign w:val="center"/>
          </w:tcPr>
          <w:p w14:paraId="2D895771">
            <w:pPr>
              <w:spacing w:line="360" w:lineRule="auto"/>
              <w:jc w:val="left"/>
              <w:rPr>
                <w:rFonts w:ascii="宋体" w:hAnsi="宋体" w:cs="宋体"/>
                <w:sz w:val="24"/>
              </w:rPr>
            </w:pPr>
            <w:r>
              <w:rPr>
                <w:rFonts w:hint="eastAsia" w:ascii="宋体" w:hAnsi="宋体" w:cs="宋体"/>
                <w:sz w:val="24"/>
              </w:rPr>
              <w:t>账号：</w:t>
            </w:r>
          </w:p>
        </w:tc>
      </w:tr>
      <w:tr w14:paraId="63900D6F">
        <w:tblPrEx>
          <w:tblCellMar>
            <w:top w:w="0" w:type="dxa"/>
            <w:left w:w="108" w:type="dxa"/>
            <w:bottom w:w="0" w:type="dxa"/>
            <w:right w:w="108" w:type="dxa"/>
          </w:tblCellMar>
        </w:tblPrEx>
        <w:trPr>
          <w:trHeight w:val="626" w:hRule="atLeast"/>
          <w:jc w:val="center"/>
        </w:trPr>
        <w:tc>
          <w:tcPr>
            <w:tcW w:w="4469" w:type="dxa"/>
            <w:noWrap/>
            <w:vAlign w:val="center"/>
          </w:tcPr>
          <w:p w14:paraId="6DB0F029">
            <w:pPr>
              <w:spacing w:line="360" w:lineRule="auto"/>
              <w:jc w:val="left"/>
              <w:rPr>
                <w:rFonts w:ascii="宋体" w:hAnsi="宋体" w:cs="宋体"/>
                <w:sz w:val="24"/>
              </w:rPr>
            </w:pPr>
            <w:r>
              <w:rPr>
                <w:rFonts w:hint="eastAsia" w:ascii="宋体" w:hAnsi="宋体" w:cs="宋体"/>
                <w:sz w:val="24"/>
              </w:rPr>
              <w:t>日期：  年   月   日</w:t>
            </w:r>
          </w:p>
        </w:tc>
        <w:tc>
          <w:tcPr>
            <w:tcW w:w="4754" w:type="dxa"/>
            <w:noWrap/>
            <w:vAlign w:val="center"/>
          </w:tcPr>
          <w:p w14:paraId="204988BA">
            <w:pPr>
              <w:spacing w:line="360" w:lineRule="auto"/>
              <w:jc w:val="left"/>
              <w:rPr>
                <w:rFonts w:ascii="宋体" w:hAnsi="宋体" w:cs="宋体"/>
                <w:sz w:val="24"/>
              </w:rPr>
            </w:pPr>
            <w:r>
              <w:rPr>
                <w:rFonts w:hint="eastAsia" w:ascii="宋体" w:hAnsi="宋体" w:cs="宋体"/>
                <w:sz w:val="24"/>
              </w:rPr>
              <w:t>日期：  年   月   日</w:t>
            </w:r>
          </w:p>
        </w:tc>
      </w:tr>
    </w:tbl>
    <w:p w14:paraId="03577F4A"/>
    <w:p w14:paraId="4EC0B8C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D35AF8"/>
    <w:multiLevelType w:val="singleLevel"/>
    <w:tmpl w:val="B5D35AF8"/>
    <w:lvl w:ilvl="0" w:tentative="0">
      <w:start w:val="7"/>
      <w:numFmt w:val="decimal"/>
      <w:suff w:val="nothing"/>
      <w:lvlText w:val="%1、"/>
      <w:lvlJc w:val="left"/>
      <w:pPr>
        <w:ind w:left="600" w:firstLine="0"/>
      </w:pPr>
    </w:lvl>
  </w:abstractNum>
  <w:abstractNum w:abstractNumId="1">
    <w:nsid w:val="0497DA8F"/>
    <w:multiLevelType w:val="singleLevel"/>
    <w:tmpl w:val="0497DA8F"/>
    <w:lvl w:ilvl="0" w:tentative="0">
      <w:start w:val="1"/>
      <w:numFmt w:val="decimal"/>
      <w:lvlText w:val="%1．"/>
      <w:lvlJc w:val="left"/>
      <w:pPr>
        <w:tabs>
          <w:tab w:val="left" w:pos="315"/>
        </w:tabs>
        <w:ind w:left="315" w:hanging="315"/>
      </w:pPr>
      <w:rPr>
        <w:rFonts w:hint="eastAsia" w:cs="Times New Roman"/>
        <w:color w:val="auto"/>
      </w:rPr>
    </w:lvl>
  </w:abstractNum>
  <w:abstractNum w:abstractNumId="2">
    <w:nsid w:val="57866F71"/>
    <w:multiLevelType w:val="multilevel"/>
    <w:tmpl w:val="57866F71"/>
    <w:lvl w:ilvl="0" w:tentative="0">
      <w:start w:val="1"/>
      <w:numFmt w:val="decimal"/>
      <w:lvlText w:val="%1."/>
      <w:lvlJc w:val="left"/>
      <w:pPr>
        <w:tabs>
          <w:tab w:val="left" w:pos="1965"/>
        </w:tabs>
        <w:ind w:left="1965" w:hanging="705"/>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63C70921"/>
    <w:multiLevelType w:val="singleLevel"/>
    <w:tmpl w:val="63C70921"/>
    <w:lvl w:ilvl="0" w:tentative="0">
      <w:start w:val="2"/>
      <w:numFmt w:val="decimal"/>
      <w:suff w:val="nothing"/>
      <w:lvlText w:val="（%1）"/>
      <w:lvlJc w:val="left"/>
    </w:lvl>
  </w:abstractNum>
  <w:abstractNum w:abstractNumId="4">
    <w:nsid w:val="7FB059FC"/>
    <w:multiLevelType w:val="singleLevel"/>
    <w:tmpl w:val="7FB059FC"/>
    <w:lvl w:ilvl="0" w:tentative="0">
      <w:start w:val="1"/>
      <w:numFmt w:val="decimal"/>
      <w:lvlText w:val="%1．"/>
      <w:lvlJc w:val="left"/>
      <w:pPr>
        <w:tabs>
          <w:tab w:val="left" w:pos="315"/>
        </w:tabs>
        <w:ind w:left="315" w:hanging="315"/>
      </w:pPr>
      <w:rPr>
        <w:rFonts w:hint="eastAsia" w:cs="Times New Roman"/>
        <w:color w:val="auto"/>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Zjk2ZGM5NWM2MzFkYWY5MTIxNmQwMDk5N2Y5OGU1YWYifQ=="/>
  </w:docVars>
  <w:rsids>
    <w:rsidRoot w:val="219E6205"/>
    <w:rsid w:val="00161C80"/>
    <w:rsid w:val="002B329D"/>
    <w:rsid w:val="004A26BB"/>
    <w:rsid w:val="006D49C1"/>
    <w:rsid w:val="00A92A18"/>
    <w:rsid w:val="00B878CA"/>
    <w:rsid w:val="05BD5CE5"/>
    <w:rsid w:val="1B350F0A"/>
    <w:rsid w:val="219E6205"/>
    <w:rsid w:val="28294B46"/>
    <w:rsid w:val="337D40E2"/>
    <w:rsid w:val="3509397C"/>
    <w:rsid w:val="35D46C6E"/>
    <w:rsid w:val="41E14B1C"/>
    <w:rsid w:val="438B777A"/>
    <w:rsid w:val="4F2B5890"/>
    <w:rsid w:val="52435292"/>
    <w:rsid w:val="5317522F"/>
    <w:rsid w:val="5DC560DE"/>
    <w:rsid w:val="5FA260A4"/>
    <w:rsid w:val="68E0783E"/>
    <w:rsid w:val="6906750D"/>
    <w:rsid w:val="73CB3419"/>
    <w:rsid w:val="76F80E50"/>
    <w:rsid w:val="78DA2C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link w:val="8"/>
    <w:qFormat/>
    <w:uiPriority w:val="9"/>
    <w:pPr>
      <w:keepNext/>
      <w:keepLines/>
      <w:spacing w:line="360" w:lineRule="auto"/>
      <w:jc w:val="center"/>
      <w:outlineLvl w:val="0"/>
    </w:pPr>
    <w:rPr>
      <w:b/>
      <w:bCs/>
      <w:kern w:val="44"/>
      <w:sz w:val="30"/>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unhideWhenUsed/>
    <w:qFormat/>
    <w:uiPriority w:val="99"/>
    <w:rPr>
      <w:color w:val="993300"/>
      <w:sz w:val="24"/>
    </w:rPr>
  </w:style>
  <w:style w:type="paragraph" w:styleId="4">
    <w:name w:val="footer"/>
    <w:basedOn w:val="1"/>
    <w:link w:val="15"/>
    <w:semiHidden/>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标题 1 Char"/>
    <w:link w:val="2"/>
    <w:qFormat/>
    <w:uiPriority w:val="9"/>
    <w:rPr>
      <w:b/>
      <w:bCs/>
      <w:kern w:val="44"/>
      <w:sz w:val="30"/>
      <w:szCs w:val="44"/>
    </w:rPr>
  </w:style>
  <w:style w:type="paragraph" w:customStyle="1" w:styleId="9">
    <w:name w:val="分类号"/>
    <w:basedOn w:val="1"/>
    <w:qFormat/>
    <w:uiPriority w:val="0"/>
    <w:pPr>
      <w:spacing w:line="240" w:lineRule="auto"/>
    </w:pPr>
    <w:rPr>
      <w:rFonts w:ascii="仿宋_GB2312" w:eastAsia="仿宋_GB2312"/>
      <w:sz w:val="28"/>
      <w:szCs w:val="28"/>
    </w:rPr>
  </w:style>
  <w:style w:type="paragraph" w:customStyle="1" w:styleId="10">
    <w:name w:val="封面日期"/>
    <w:basedOn w:val="1"/>
    <w:qFormat/>
    <w:uiPriority w:val="0"/>
    <w:pPr>
      <w:spacing w:line="240" w:lineRule="auto"/>
      <w:jc w:val="center"/>
    </w:pPr>
    <w:rPr>
      <w:rFonts w:ascii="黑体" w:eastAsia="黑体"/>
      <w:sz w:val="32"/>
      <w:szCs w:val="32"/>
    </w:rPr>
  </w:style>
  <w:style w:type="paragraph" w:customStyle="1" w:styleId="11">
    <w:name w:val="论文标题"/>
    <w:basedOn w:val="1"/>
    <w:qFormat/>
    <w:uiPriority w:val="0"/>
    <w:pPr>
      <w:spacing w:line="240" w:lineRule="auto"/>
      <w:jc w:val="center"/>
    </w:pPr>
    <w:rPr>
      <w:rFonts w:eastAsia="楷体_GB2312"/>
      <w:b/>
      <w:kern w:val="36"/>
      <w:sz w:val="52"/>
      <w:szCs w:val="52"/>
    </w:rPr>
  </w:style>
  <w:style w:type="paragraph" w:customStyle="1" w:styleId="12">
    <w:name w:val="硕士学位论文"/>
    <w:basedOn w:val="1"/>
    <w:qFormat/>
    <w:uiPriority w:val="0"/>
    <w:pPr>
      <w:spacing w:before="240" w:line="240" w:lineRule="auto"/>
      <w:jc w:val="center"/>
    </w:pPr>
    <w:rPr>
      <w:sz w:val="44"/>
      <w:szCs w:val="44"/>
    </w:rPr>
  </w:style>
  <w:style w:type="paragraph" w:customStyle="1" w:styleId="13">
    <w:name w:val="研究生姓名"/>
    <w:basedOn w:val="1"/>
    <w:qFormat/>
    <w:uiPriority w:val="0"/>
    <w:pPr>
      <w:spacing w:line="240" w:lineRule="auto"/>
      <w:ind w:firstLine="700" w:firstLineChars="700"/>
    </w:pPr>
    <w:rPr>
      <w:sz w:val="28"/>
      <w:szCs w:val="28"/>
    </w:rPr>
  </w:style>
  <w:style w:type="character" w:customStyle="1" w:styleId="14">
    <w:name w:val="页眉 Char"/>
    <w:basedOn w:val="7"/>
    <w:link w:val="5"/>
    <w:semiHidden/>
    <w:qFormat/>
    <w:uiPriority w:val="99"/>
    <w:rPr>
      <w:rFonts w:ascii="Times New Roman" w:hAnsi="Times New Roman" w:eastAsia="宋体" w:cs="Times New Roman"/>
      <w:kern w:val="2"/>
      <w:sz w:val="18"/>
      <w:szCs w:val="18"/>
    </w:rPr>
  </w:style>
  <w:style w:type="character" w:customStyle="1" w:styleId="15">
    <w:name w:val="页脚 Char"/>
    <w:basedOn w:val="7"/>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3404</Words>
  <Characters>3440</Characters>
  <Lines>28</Lines>
  <Paragraphs>7</Paragraphs>
  <TotalTime>4</TotalTime>
  <ScaleCrop>false</ScaleCrop>
  <LinksUpToDate>false</LinksUpToDate>
  <CharactersWithSpaces>3742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2025-04-28T05:08:00Z</dcterms:created>
  <dc:creator>xiaofei li</dc:creator>
  <cp:lastModifiedBy>企业用户_370826168</cp:lastModifiedBy>
  <dcterms:modified xsi:type="dcterms:W3CDTF">2025-05-15T09:39:38Z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FB3DDFFDDB18428E9BD7505FD516CBC7_13</vt:lpwstr>
  </property>
  <property fmtid="{D5CDD505-2E9C-101B-9397-08002B2CF9AE}" pid="4" name="KSOTemplateDocerSaveRecord">
    <vt:lpwstr>eyJoZGlkIjoiMWMzMjhlZDRjY2M5NjNkN2ZkZDVlZjMwZjdlMWVkY2QiLCJ1c2VySWQiOiIxNTczMTUzMzc5In0=</vt:lpwstr>
  </property>
</Properties>
</file>