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版本号：SDZC2025-08920250516001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三原县宏道书院文物管理所宏道书院防雷项目(二次)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SDZC2025-089</w:t>
      </w:r>
      <w:r>
        <w:br/>
      </w:r>
      <w:r>
        <w:br/>
      </w:r>
      <w:r>
        <w:br/>
      </w:r>
    </w:p>
    <w:p>
      <w:pPr>
        <w:pStyle w:val="null3"/>
        <w:jc w:val="center"/>
        <w:outlineLvl w:val="2"/>
      </w:pPr>
      <w:r>
        <w:rPr>
          <w:rFonts w:ascii="仿宋_GB2312" w:hAnsi="仿宋_GB2312" w:cs="仿宋_GB2312" w:eastAsia="仿宋_GB2312"/>
          <w:sz w:val="28"/>
          <w:b/>
        </w:rPr>
        <w:t>三原县文化和旅游局</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三原县文化和旅游局</w:t>
      </w:r>
      <w:r>
        <w:rPr>
          <w:rFonts w:ascii="仿宋_GB2312" w:hAnsi="仿宋_GB2312" w:cs="仿宋_GB2312" w:eastAsia="仿宋_GB2312"/>
        </w:rPr>
        <w:t>委托，拟对</w:t>
      </w:r>
      <w:r>
        <w:rPr>
          <w:rFonts w:ascii="仿宋_GB2312" w:hAnsi="仿宋_GB2312" w:cs="仿宋_GB2312" w:eastAsia="仿宋_GB2312"/>
        </w:rPr>
        <w:t>三原县宏道书院文物管理所宏道书院防雷项目(二次)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SDZC2025-089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三原县宏道书院文物管理所宏道书院防雷项目(二次)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三原县宏道书院文物管理所宏道书院防雷项目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5、书面说明及承诺：提供具有履行本合同所必需的设备和专业技术能力的说明及承诺；（提供书面说明及承诺，加盖供应商公章）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p>
      <w:pPr>
        <w:pStyle w:val="null3"/>
      </w:pPr>
      <w:r>
        <w:rPr>
          <w:rFonts w:ascii="仿宋_GB2312" w:hAnsi="仿宋_GB2312" w:cs="仿宋_GB2312" w:eastAsia="仿宋_GB2312"/>
        </w:rPr>
        <w:t>8、资质：供应商应取得住房和城乡建设厅颁发的特种工程专业承包（特种防雷）资质；</w:t>
      </w:r>
    </w:p>
    <w:p>
      <w:pPr>
        <w:pStyle w:val="null3"/>
      </w:pPr>
      <w:r>
        <w:rPr>
          <w:rFonts w:ascii="仿宋_GB2312" w:hAnsi="仿宋_GB2312" w:cs="仿宋_GB2312" w:eastAsia="仿宋_GB2312"/>
        </w:rPr>
        <w:t>9、项目负责人：拟派项目负责人具备二级或以上注册建造师证书、有效的安全生产考核证书（B证），在本单位注册；</w:t>
      </w:r>
    </w:p>
    <w:p>
      <w:pPr>
        <w:pStyle w:val="null3"/>
      </w:pPr>
      <w:r>
        <w:rPr>
          <w:rFonts w:ascii="仿宋_GB2312" w:hAnsi="仿宋_GB2312" w:cs="仿宋_GB2312" w:eastAsia="仿宋_GB2312"/>
        </w:rPr>
        <w:t>10、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11、控股管理关系：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三原县文化和旅游局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陕西省咸阳市三原县北城书院巷6号（本项目采购人：三原县宏道书院文物管理所）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029-32319233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金岩（1号工位）、姚文霄</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采购包1：597,490.24元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关于降低部分建设项目收费标准规范收费行为等有关问题的通知》(发改价格〔2011〕534号)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三原县文化和旅游局</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三原县文化和旅游局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三原县文化和旅游局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1.验收流程 1.1项目在竣工后，成交人应向采购人提交工程竣工报告，申请工程竣工验收，并将施工过程中相关资料提交采购人。1.2采购人收到工程竣工报告后，对符合竣工验收要求的工程，组织相关单位和其他有关方面的专家组成验收组共同验收，签署的工程竣工验收意见。1.3验收合格后，采购人出具《工程竣工验收报告》，并在建设行政主管部门备案。1.4验收不合格的成交单位，必须在接到通知后7个日历日内确保工程通过验收。如接到通知后7个日历日内验收仍不合格，采购人可提出索赔或取消其施工合同。2.验收标准按照国家、行业有关规范和要求执行。3.成交人承诺完全达到国家有关部门验收标准，并全部通过验收为交付使用的基本条件，验收过程中的一切费用由成交供应商承担。 4.验收依据 4.1合同文本及合同补充文件（条款）。4.2磋商文件。4.3磋商响应文件。4.4工程量清单。4.5建筑工程施工质量验收统一标准。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联系人：金岩（1号工位）</w:t>
      </w:r>
    </w:p>
    <w:p>
      <w:pPr>
        <w:pStyle w:val="null3"/>
      </w:pPr>
      <w:r>
        <w:rPr>
          <w:rFonts w:ascii="仿宋_GB2312" w:hAnsi="仿宋_GB2312" w:cs="仿宋_GB2312" w:eastAsia="仿宋_GB2312"/>
        </w:rPr>
        <w:t>联系电话：029-86673953/86518381/89299829/89293231转8001</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597,490.24</w:t>
      </w:r>
    </w:p>
    <w:p>
      <w:pPr>
        <w:pStyle w:val="null3"/>
      </w:pPr>
      <w:r>
        <w:rPr>
          <w:rFonts w:ascii="仿宋_GB2312" w:hAnsi="仿宋_GB2312" w:cs="仿宋_GB2312" w:eastAsia="仿宋_GB2312"/>
        </w:rPr>
        <w:t>采购包最高限价（元）: 597,490.24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防雷项目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597,490.24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标的名称：防雷项目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工程量清单详见附件电子招标书</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1.验收流程 1.1项目在竣工后，成交人应向采购人提交工程竣工报告，申请工程竣工验收，并将施工过程中相关资料提交采购人。1.2采购人收到工程竣工报告后，对符合竣工验收要求的工程，组织相关单位和其他有关方面的专家组成验收组共同验收，签署的工程竣工验收意见。1.3验收合格后，采购人出具《工程竣工验收报告》，并在建设行政主管部门备案。1.4验收不合格的成交单位，必须在接到通知后7个日历日内确保工程通过验收。如接到通知后7个日历日内验收仍不合格，采购人可提出索赔或取消其施工合同。2.验收标准按照国家、行业有关规范和要求执行。3.成交人承诺完全达到国家有关部门验收标准，并全部通过验收为交付使用的基本条件，验收过程中的一切费用由成交供应商承担。4.验收依据 4.1合同文本及合同补充文件（条款）。4.2磋商文件。4.3磋商响应文件。4.4工程量清单。4.5建筑工程施工质量验收统一标准。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本项目工期：自合同签订后90个日历日内施工完毕。2、运输、施工：成交人负责材料的运输、施工及其他伴随服务。3、施工要求：3.1成交人在施工期间应严格遵守国家、省、市有关防火、爆破和施工安全以及文明施工、深夜施工、环卫和城管等规定，建立规章制度和防护措施, 应按安全施工的要求，采取严格科学的安全措施，确保施工安全和第三者的安全，确保工程质量和生产安全。否则，由此造成的经济和法律责任均由成交人负责。3.2成交人应配合项目建设进度,向采购人提供施工组织计划、进度计划和施工作业计划，并签订施工安全责任书。3.3采购人只提供电源、水源。成交人在施工期间不得破坏原有建筑。4、质量保证和售后服务：4.1质保期符合国家标准要求，成交人承诺的质保时间超过国家标准要求的，按其承诺时间质保。成交人承诺的质保期起始时间为终验合格之日。4.2工程质量等级达到合格或以上标准。4.3成交人应遵照国家规范规定的建筑工程施工质量标准及要求作出明确承诺。4.4在质量保证期内，成交人应具有良好、迅速的售后服务能力。5、合同实施：5.1.成交人应在合同签订后，依据采购人提供的平面布置图，向采购人提交项目图纸，审核合格后方可施工。5.2.图纸审核通过后7个日历日内安排人员（项目组成人员简历表所列）就施工工作等进行安排、部署。5.3.若因成交人原因未能在规定工期内完成合同规定的义务，由此对采购人造成的延误和一切损失，由成交人承担和赔偿。6、违约责任：6.1按《中华人民共和国民法典》中的相关条款执行。6.2未按合同要求提供工程质量或工程质量不能满足技术要求，采购人有权终止合同，并对供方违约行为进行追究，同时按《中华人民共和国政府采购法》的有关规定进行处罚。</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人在领取成交通知书时提供一正两副纸质竞争性磋商响应文件。装订：纸质竞争性磋商响应文件采用书籍（胶装）方式装订成册，与电子版文件一致的签字、盖章的完整版本，编制书脊（注明项目名称、项目编号）。2、本项目采购标的对应的中小企业划分标准所属行业为（建筑业）。3、3.1付款条件说明：项目施工完毕并经终验合格后30天内，乙方持《终验合格单》原件在甲方处办理工程款的支付手续，达到付款条件起20日内，支付合同总金额的97.00%。3.2付款条件说明：自终验结束之日起一年后，在无索赔争议的情况下，在甲方处办理工程款的支付手续，达到付款条件起20日内，支付合同总金额的3.00%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 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资质证明文件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供应商需在项目电子化交易系统中按要求填写《响应函》完成承诺并进行电子签章。此项审查内容与特定资格条件中的“控股关系查询”为同一审查内容。</w:t>
            </w:r>
          </w:p>
        </w:tc>
        <w:tc>
          <w:tcPr>
            <w:tcW w:type="dxa" w:w="1661"/>
          </w:tcPr>
          <w:p>
            <w:pPr>
              <w:pStyle w:val="null3"/>
            </w:pPr>
            <w:r>
              <w:rPr>
                <w:rFonts w:ascii="仿宋_GB2312" w:hAnsi="仿宋_GB2312" w:cs="仿宋_GB2312" w:eastAsia="仿宋_GB2312"/>
              </w:rPr>
              <w:t>资质证明文件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资质证明文件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资质证明文件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资质证明文件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资质证明文件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资质证明文件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资质证明文件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rFonts w:ascii="仿宋_GB2312" w:hAnsi="仿宋_GB2312" w:cs="仿宋_GB2312" w:eastAsia="仿宋_GB2312"/>
              </w:rPr>
              <w:t>资质证明文件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供应商应取得住房和城乡建设厅颁发的特种工程专业承包（特种防雷）资质；</w:t>
            </w:r>
          </w:p>
        </w:tc>
        <w:tc>
          <w:tcPr>
            <w:tcW w:type="dxa" w:w="1661"/>
          </w:tcPr>
          <w:p>
            <w:pPr>
              <w:pStyle w:val="null3"/>
            </w:pPr>
            <w:r>
              <w:rPr>
                <w:rFonts w:ascii="仿宋_GB2312" w:hAnsi="仿宋_GB2312" w:cs="仿宋_GB2312" w:eastAsia="仿宋_GB2312"/>
              </w:rPr>
              <w:t>资质证明文件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拟派项目负责人具备二级或以上注册建造师证书、有效的安全生产考核证书（B证），在本单位注册；</w:t>
            </w:r>
          </w:p>
        </w:tc>
        <w:tc>
          <w:tcPr>
            <w:tcW w:type="dxa" w:w="1661"/>
          </w:tcPr>
          <w:p>
            <w:pPr>
              <w:pStyle w:val="null3"/>
            </w:pPr>
            <w:r>
              <w:rPr>
                <w:rFonts w:ascii="仿宋_GB2312" w:hAnsi="仿宋_GB2312" w:cs="仿宋_GB2312" w:eastAsia="仿宋_GB2312"/>
              </w:rPr>
              <w:t>资质证明文件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资质证明文件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资质证明文件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除明确允许供应商可以自行编写的外，磋商响应文件是否按照磋商文件给定的格式编制；</w:t>
            </w:r>
          </w:p>
        </w:tc>
        <w:tc>
          <w:tcPr>
            <w:tcW w:type="dxa" w:w="1661"/>
          </w:tcPr>
          <w:p>
            <w:pPr>
              <w:pStyle w:val="null3"/>
            </w:pPr>
            <w:r>
              <w:rPr>
                <w:rFonts w:ascii="仿宋_GB2312" w:hAnsi="仿宋_GB2312" w:cs="仿宋_GB2312" w:eastAsia="仿宋_GB2312"/>
              </w:rPr>
              <w:t>人员配备 分项报价表 供应商参与政府采购活动的承诺函 对竞争性磋商文件及合同条款的承诺 中小企业声明函 承诺书 拒绝政府采购领域商业贿赂承诺书 法定代表人资格证明书 响应文件封面 资质证明文件 项目管理机构组成表 服务承诺 残疾人福利性单位声明函 业绩情况表 工程量清单计价表 技术、服务、商务及其他要求响应偏离表 响应函 主要人员简历表 技术规格响应偏离表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磋商响应文件是否按照磋商文件的要求盖章签字；</w:t>
            </w:r>
          </w:p>
        </w:tc>
        <w:tc>
          <w:tcPr>
            <w:tcW w:type="dxa" w:w="1661"/>
          </w:tcPr>
          <w:p>
            <w:pPr>
              <w:pStyle w:val="null3"/>
            </w:pPr>
            <w:r>
              <w:rPr>
                <w:rFonts w:ascii="仿宋_GB2312" w:hAnsi="仿宋_GB2312" w:cs="仿宋_GB2312" w:eastAsia="仿宋_GB2312"/>
              </w:rPr>
              <w:t>人员配备 供应商参与政府采购活动的承诺函 分项报价表 对竞争性磋商文件及合同条款的承诺 中小企业声明函 承诺书 拒绝政府采购领域商业贿赂承诺书 法定代表人资格证明书 响应文件封面 资质证明文件 项目管理机构组成表 服务承诺 残疾人福利性单位声明函 业绩情况表 工程量清单计价表 技术、服务、商务及其他要求响应偏离表 响应函 主要人员简历表 技术规格响应偏离表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磋商报价未超过最高限价</w:t>
            </w:r>
          </w:p>
        </w:tc>
        <w:tc>
          <w:tcPr>
            <w:tcW w:type="dxa" w:w="3322"/>
          </w:tcPr>
          <w:p>
            <w:pPr>
              <w:pStyle w:val="null3"/>
            </w:pPr>
            <w:r>
              <w:rPr>
                <w:rFonts w:ascii="仿宋_GB2312" w:hAnsi="仿宋_GB2312" w:cs="仿宋_GB2312" w:eastAsia="仿宋_GB2312"/>
              </w:rPr>
              <w:t>磋商报价未超过最高限价；</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对磋商文件商务要求是否作出明确且实质性响应；</w:t>
            </w:r>
          </w:p>
        </w:tc>
        <w:tc>
          <w:tcPr>
            <w:tcW w:type="dxa" w:w="1661"/>
          </w:tcPr>
          <w:p>
            <w:pPr>
              <w:pStyle w:val="null3"/>
            </w:pPr>
            <w:r>
              <w:rPr>
                <w:rFonts w:ascii="仿宋_GB2312" w:hAnsi="仿宋_GB2312" w:cs="仿宋_GB2312" w:eastAsia="仿宋_GB2312"/>
              </w:rPr>
              <w:t>技术、服务、商务及其他要求响应偏离表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对磋商文件技术要求是否作出明确响应，对不得偏离的要求是否作出实质性响应；</w:t>
            </w:r>
          </w:p>
        </w:tc>
        <w:tc>
          <w:tcPr>
            <w:tcW w:type="dxa" w:w="1661"/>
          </w:tcPr>
          <w:p>
            <w:pPr>
              <w:pStyle w:val="null3"/>
            </w:pPr>
            <w:r>
              <w:rPr>
                <w:rFonts w:ascii="仿宋_GB2312" w:hAnsi="仿宋_GB2312" w:cs="仿宋_GB2312" w:eastAsia="仿宋_GB2312"/>
              </w:rPr>
              <w:t>技术、服务、商务及其他要求响应偏离表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磋商响应文件未含有采购人不能接受的附加条件</w:t>
            </w:r>
          </w:p>
        </w:tc>
        <w:tc>
          <w:tcPr>
            <w:tcW w:type="dxa" w:w="3322"/>
          </w:tcPr>
          <w:p>
            <w:pPr>
              <w:pStyle w:val="null3"/>
            </w:pPr>
            <w:r>
              <w:rPr>
                <w:rFonts w:ascii="仿宋_GB2312" w:hAnsi="仿宋_GB2312" w:cs="仿宋_GB2312" w:eastAsia="仿宋_GB2312"/>
              </w:rPr>
              <w:t>磋商响应文件未含有采购人不能接受的附加条件；</w:t>
            </w:r>
          </w:p>
        </w:tc>
        <w:tc>
          <w:tcPr>
            <w:tcW w:type="dxa" w:w="1661"/>
          </w:tcPr>
          <w:p>
            <w:pPr>
              <w:pStyle w:val="null3"/>
            </w:pPr>
            <w:r>
              <w:rPr>
                <w:rFonts w:ascii="仿宋_GB2312" w:hAnsi="仿宋_GB2312" w:cs="仿宋_GB2312" w:eastAsia="仿宋_GB2312"/>
              </w:rPr>
              <w:t>施工技术响应</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未含法律、法规和磋商文件规定的其他无效响应情形。</w:t>
            </w:r>
          </w:p>
        </w:tc>
        <w:tc>
          <w:tcPr>
            <w:tcW w:type="dxa" w:w="1661"/>
          </w:tcPr>
          <w:p>
            <w:pPr>
              <w:pStyle w:val="null3"/>
            </w:pPr>
            <w:r>
              <w:rPr>
                <w:rFonts w:ascii="仿宋_GB2312" w:hAnsi="仿宋_GB2312" w:cs="仿宋_GB2312" w:eastAsia="仿宋_GB2312"/>
              </w:rPr>
              <w:t>人员配备 供应商参与政府采购活动的承诺函 对竞争性磋商文件及合同条款的承诺 中小企业声明函 承诺书 施工技术响应 拒绝政府采购领域商业贿赂承诺书 法定代表人资格证明书 响应文件封面 资质证明文件 项目管理机构组成表 服务承诺 残疾人福利性单位声明函 业绩情况表 工程量清单计价表 技术、服务、商务及其他要求响应偏离表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技术响应1</w:t>
            </w:r>
          </w:p>
        </w:tc>
        <w:tc>
          <w:tcPr>
            <w:tcW w:type="dxa" w:w="2492"/>
          </w:tcPr>
          <w:p>
            <w:pPr>
              <w:pStyle w:val="null3"/>
            </w:pPr>
            <w:r>
              <w:rPr>
                <w:rFonts w:ascii="仿宋_GB2312" w:hAnsi="仿宋_GB2312" w:cs="仿宋_GB2312" w:eastAsia="仿宋_GB2312"/>
              </w:rPr>
              <w:t>确保工程质量的技术组织措施【6分】 一、评审内容： 供应商针对本项目编制完善的工程质量技术组织措施，内容包含但不限于：①质量目标管理体系，②施工质量的检验制度，③确保质量的技术组织措施，④材料储存方案。 二、评审标准 1、内容全面详细，且条理清晰、准确、措施合理具体； 2、内容能够紧扣项目实际情况，内容清晰、合理。 三、赋分标准（满分6分） ①内容完整且完全满足上述评审标准的，计6分； ②内容完整，但条理不清晰、措施不具体、无紧扣项目实际情况实质性内容的，计3分； ③内容缺2项及以下的，计1分； ④内容缺3项及以上的不计分。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w:t>
            </w:r>
          </w:p>
        </w:tc>
      </w:tr>
      <w:tr>
        <w:tc>
          <w:tcPr>
            <w:tcW w:type="dxa" w:w="831"/>
            <w:vMerge/>
          </w:tcPr>
          <w:p/>
        </w:tc>
        <w:tc>
          <w:tcPr>
            <w:tcW w:type="dxa" w:w="1661"/>
          </w:tcPr>
          <w:p>
            <w:pPr>
              <w:pStyle w:val="null3"/>
            </w:pPr>
            <w:r>
              <w:rPr>
                <w:rFonts w:ascii="仿宋_GB2312" w:hAnsi="仿宋_GB2312" w:cs="仿宋_GB2312" w:eastAsia="仿宋_GB2312"/>
              </w:rPr>
              <w:t>技术响应2</w:t>
            </w:r>
          </w:p>
        </w:tc>
        <w:tc>
          <w:tcPr>
            <w:tcW w:type="dxa" w:w="2492"/>
          </w:tcPr>
          <w:p>
            <w:pPr>
              <w:pStyle w:val="null3"/>
            </w:pPr>
            <w:r>
              <w:rPr>
                <w:rFonts w:ascii="仿宋_GB2312" w:hAnsi="仿宋_GB2312" w:cs="仿宋_GB2312" w:eastAsia="仿宋_GB2312"/>
              </w:rPr>
              <w:t>确保文明施工的技术组织措施及环境保护措施【6分】 一、评审内容 供应商针对本项目编制完善的文明施工及环境保护措施，内容包含但不限于：①安全文明施工目标及施工现场的临时管理措施，②文明施工保障措施，③环境保护管理体系，④环保控制措施：污染物及废弃物处理的排放、噪音控制、防尘及扬尘的控制措施。 二、评审标准 1、内容全面详细，且条理清晰、准确、措施合理具体； 2、内容能够紧扣项目实际情况，内容清晰、合理。 三、赋分标准（满分6分） ①内容完整且完全满足上述评审标准的，计6分； ②内容完整，但条理不清晰、措施不具体、无紧扣项目实际情况实质性内容的，计3分； ③内容缺2项及以下的，计1分； ④内容缺3项及以上的不计分。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w:t>
            </w:r>
          </w:p>
        </w:tc>
      </w:tr>
      <w:tr>
        <w:tc>
          <w:tcPr>
            <w:tcW w:type="dxa" w:w="831"/>
            <w:vMerge/>
          </w:tcPr>
          <w:p/>
        </w:tc>
        <w:tc>
          <w:tcPr>
            <w:tcW w:type="dxa" w:w="1661"/>
          </w:tcPr>
          <w:p>
            <w:pPr>
              <w:pStyle w:val="null3"/>
            </w:pPr>
            <w:r>
              <w:rPr>
                <w:rFonts w:ascii="仿宋_GB2312" w:hAnsi="仿宋_GB2312" w:cs="仿宋_GB2312" w:eastAsia="仿宋_GB2312"/>
              </w:rPr>
              <w:t>技术响应3</w:t>
            </w:r>
          </w:p>
        </w:tc>
        <w:tc>
          <w:tcPr>
            <w:tcW w:type="dxa" w:w="2492"/>
          </w:tcPr>
          <w:p>
            <w:pPr>
              <w:pStyle w:val="null3"/>
            </w:pPr>
            <w:r>
              <w:rPr>
                <w:rFonts w:ascii="仿宋_GB2312" w:hAnsi="仿宋_GB2312" w:cs="仿宋_GB2312" w:eastAsia="仿宋_GB2312"/>
              </w:rPr>
              <w:t>确保安全生产的技术组织措施【6分】 一、评审内容 供应商针对本项目编制完善的安全生产的技术组织措施，内容包含但不限于：①安全管理体系，②安全责任归属划分，③安全标识：安全警戒标语、施工人员安全警示服和安全帽穿配要求，④安全教育培训。 二、评审标准 1、内容全面详细，且条理清晰、准确、措施合理具体； 2、内容能够紧扣项目实际情况，内容清晰、合理。 三、赋分标准（满分6分） ①内容完整且完全满足上述评审标准的，计6分； ②内容完整，但条理不清晰、措施不具体、无紧扣项目实际情况实质性内容的，计3分； ③内容缺2项及以下的，计1分； ④内容缺3项及以上的不计分。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w:t>
            </w:r>
          </w:p>
        </w:tc>
      </w:tr>
      <w:tr>
        <w:tc>
          <w:tcPr>
            <w:tcW w:type="dxa" w:w="831"/>
            <w:vMerge/>
          </w:tcPr>
          <w:p/>
        </w:tc>
        <w:tc>
          <w:tcPr>
            <w:tcW w:type="dxa" w:w="1661"/>
          </w:tcPr>
          <w:p>
            <w:pPr>
              <w:pStyle w:val="null3"/>
            </w:pPr>
            <w:r>
              <w:rPr>
                <w:rFonts w:ascii="仿宋_GB2312" w:hAnsi="仿宋_GB2312" w:cs="仿宋_GB2312" w:eastAsia="仿宋_GB2312"/>
              </w:rPr>
              <w:t>技术响应4</w:t>
            </w:r>
          </w:p>
        </w:tc>
        <w:tc>
          <w:tcPr>
            <w:tcW w:type="dxa" w:w="2492"/>
          </w:tcPr>
          <w:p>
            <w:pPr>
              <w:pStyle w:val="null3"/>
            </w:pPr>
            <w:r>
              <w:rPr>
                <w:rFonts w:ascii="仿宋_GB2312" w:hAnsi="仿宋_GB2312" w:cs="仿宋_GB2312" w:eastAsia="仿宋_GB2312"/>
              </w:rPr>
              <w:t>确保工期的技术组织措施【6分】 一、评审内容 供应商针对本项目编制完善的工期的技术组织措施，内容包含但不限于：①施工组织与工期保证措施，②特殊情况保证：夜间、雨季、高温等情况。 二、评审标准 1、内容全面详细，且条理清晰、准确、措施合理具体； 2、内容能够紧扣项目实际情况，内容清晰、合理。 三、赋分标准（满分6分） ①内容完整且完全满足上述评审标准的，得6分； ②内容完整，但条理不清晰、措施不具体且无紧扣项目实际情况的实质性内容，计3分； ③内容缺1项的，计1分；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w:t>
            </w:r>
          </w:p>
        </w:tc>
      </w:tr>
      <w:tr>
        <w:tc>
          <w:tcPr>
            <w:tcW w:type="dxa" w:w="831"/>
            <w:vMerge/>
          </w:tcPr>
          <w:p/>
        </w:tc>
        <w:tc>
          <w:tcPr>
            <w:tcW w:type="dxa" w:w="1661"/>
          </w:tcPr>
          <w:p>
            <w:pPr>
              <w:pStyle w:val="null3"/>
            </w:pPr>
            <w:r>
              <w:rPr>
                <w:rFonts w:ascii="仿宋_GB2312" w:hAnsi="仿宋_GB2312" w:cs="仿宋_GB2312" w:eastAsia="仿宋_GB2312"/>
              </w:rPr>
              <w:t>技术响应5</w:t>
            </w:r>
          </w:p>
        </w:tc>
        <w:tc>
          <w:tcPr>
            <w:tcW w:type="dxa" w:w="2492"/>
          </w:tcPr>
          <w:p>
            <w:pPr>
              <w:pStyle w:val="null3"/>
            </w:pPr>
            <w:r>
              <w:rPr>
                <w:rFonts w:ascii="仿宋_GB2312" w:hAnsi="仿宋_GB2312" w:cs="仿宋_GB2312" w:eastAsia="仿宋_GB2312"/>
              </w:rPr>
              <w:t>项目施工方案【10分】 一、评审内容 供应商针对本项目编制完善的施工方案，内容包含但不限于：①具体施工内容，②施工次序，③施工方法（工艺），④成品保护措施。 二、评审标准 1、内容全面详细，且条理清晰、准确、措施合理具体； 2、内容能够紧扣项目实际情况，内容清晰、合理。 三、赋分标准（满分10分） ①内容完整且完全满足上述评审标准的，得10分； ②内容完整，但条理不清晰、措施不具体且无紧扣项目实际情况的实质性内容，计6分； ③内容缺1-2项的，计3分； ④内容缺3项的计1分； ⑤未提供相关内容的不计分。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w:t>
            </w:r>
          </w:p>
        </w:tc>
      </w:tr>
      <w:tr>
        <w:tc>
          <w:tcPr>
            <w:tcW w:type="dxa" w:w="831"/>
            <w:vMerge/>
          </w:tcPr>
          <w:p/>
        </w:tc>
        <w:tc>
          <w:tcPr>
            <w:tcW w:type="dxa" w:w="1661"/>
          </w:tcPr>
          <w:p>
            <w:pPr>
              <w:pStyle w:val="null3"/>
            </w:pPr>
            <w:r>
              <w:rPr>
                <w:rFonts w:ascii="仿宋_GB2312" w:hAnsi="仿宋_GB2312" w:cs="仿宋_GB2312" w:eastAsia="仿宋_GB2312"/>
              </w:rPr>
              <w:t>技术响应6</w:t>
            </w:r>
          </w:p>
        </w:tc>
        <w:tc>
          <w:tcPr>
            <w:tcW w:type="dxa" w:w="2492"/>
          </w:tcPr>
          <w:p>
            <w:pPr>
              <w:pStyle w:val="null3"/>
            </w:pPr>
            <w:r>
              <w:rPr>
                <w:rFonts w:ascii="仿宋_GB2312" w:hAnsi="仿宋_GB2312" w:cs="仿宋_GB2312" w:eastAsia="仿宋_GB2312"/>
              </w:rPr>
              <w:t>施工机械及材料投入计划【6分】 一、评审内容 供应商针对本项目编制完善的施工机械及材料投入计划，内容包含但不限于：①拟投入的主要施工机械设备计划，②主要材料进场计划。 二、评审标准 1、内容全面详细，且条理清晰、准确、措施合理具体； 2、内容能够紧扣项目实际情况，内容清晰、合理。 三、赋分标准（满分6分） ①内容完整且完全满足上述评审标准的，得6分； ②内容完整，但条理不清晰、计划不具体且无紧扣项目实际情况的实质性内容，计3分； ③内容缺1项的，计1分；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w:t>
            </w:r>
          </w:p>
        </w:tc>
      </w:tr>
      <w:tr>
        <w:tc>
          <w:tcPr>
            <w:tcW w:type="dxa" w:w="831"/>
            <w:vMerge/>
          </w:tcPr>
          <w:p/>
        </w:tc>
        <w:tc>
          <w:tcPr>
            <w:tcW w:type="dxa" w:w="1661"/>
          </w:tcPr>
          <w:p>
            <w:pPr>
              <w:pStyle w:val="null3"/>
            </w:pPr>
            <w:r>
              <w:rPr>
                <w:rFonts w:ascii="仿宋_GB2312" w:hAnsi="仿宋_GB2312" w:cs="仿宋_GB2312" w:eastAsia="仿宋_GB2312"/>
              </w:rPr>
              <w:t>技术响应7</w:t>
            </w:r>
          </w:p>
        </w:tc>
        <w:tc>
          <w:tcPr>
            <w:tcW w:type="dxa" w:w="2492"/>
          </w:tcPr>
          <w:p>
            <w:pPr>
              <w:pStyle w:val="null3"/>
            </w:pPr>
            <w:r>
              <w:rPr>
                <w:rFonts w:ascii="仿宋_GB2312" w:hAnsi="仿宋_GB2312" w:cs="仿宋_GB2312" w:eastAsia="仿宋_GB2312"/>
              </w:rPr>
              <w:t>施工进度网络图或施工进度表【6分】 一、评审内容 供应商针对本项目编制完善的施工进度网络图或施工进度表，内容包含但不限于：①施工总进度：施工进度目标和施工总进度计划表/图，②施工进度保障措施。 二、评审标准 1、内容全面详细，且条理清晰、准确、措施合理具体； 2、内容能够紧扣项目实际情况，内容清晰、合理。 三、赋分标准（满分6分） ①内容完整且完全满足上述评审标准的，得6分； ②内容完整，但条理不清晰、计划不具体且无紧扣项目实际情况的实质性内容，计3分； ③内容缺1项的，计1分；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w:t>
            </w:r>
          </w:p>
        </w:tc>
      </w:tr>
      <w:tr>
        <w:tc>
          <w:tcPr>
            <w:tcW w:type="dxa" w:w="831"/>
            <w:vMerge/>
          </w:tcPr>
          <w:p/>
        </w:tc>
        <w:tc>
          <w:tcPr>
            <w:tcW w:type="dxa" w:w="1661"/>
          </w:tcPr>
          <w:p>
            <w:pPr>
              <w:pStyle w:val="null3"/>
            </w:pPr>
            <w:r>
              <w:rPr>
                <w:rFonts w:ascii="仿宋_GB2312" w:hAnsi="仿宋_GB2312" w:cs="仿宋_GB2312" w:eastAsia="仿宋_GB2312"/>
              </w:rPr>
              <w:t>技术响应8</w:t>
            </w:r>
          </w:p>
        </w:tc>
        <w:tc>
          <w:tcPr>
            <w:tcW w:type="dxa" w:w="2492"/>
          </w:tcPr>
          <w:p>
            <w:pPr>
              <w:pStyle w:val="null3"/>
            </w:pPr>
            <w:r>
              <w:rPr>
                <w:rFonts w:ascii="仿宋_GB2312" w:hAnsi="仿宋_GB2312" w:cs="仿宋_GB2312" w:eastAsia="仿宋_GB2312"/>
              </w:rPr>
              <w:t>劳动力安排计划及保障措施【6分】 一、评审内容 供应商针对本项目编制完善的劳动力安排计划，内容包含但不限于：①劳动力投入计划，②劳动力保障措施。 二、评审标准 1、内容全面详细，且条理清晰、准确、措施合理具体； 2、内容能够紧扣项目实际情况，内容清晰、合理。 三、赋分标准（满分6分） ①内容完整且完全满足上述评审标准的，得6分； ②内容完整，但条理不清晰、计划不具体且无紧扣项目实际情况的实质性内容，计3分； ③内容缺1项的，计1分；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w:t>
            </w:r>
          </w:p>
        </w:tc>
      </w:tr>
      <w:tr>
        <w:tc>
          <w:tcPr>
            <w:tcW w:type="dxa" w:w="831"/>
            <w:vMerge/>
          </w:tcPr>
          <w:p/>
        </w:tc>
        <w:tc>
          <w:tcPr>
            <w:tcW w:type="dxa" w:w="1661"/>
          </w:tcPr>
          <w:p>
            <w:pPr>
              <w:pStyle w:val="null3"/>
            </w:pPr>
            <w:r>
              <w:rPr>
                <w:rFonts w:ascii="仿宋_GB2312" w:hAnsi="仿宋_GB2312" w:cs="仿宋_GB2312" w:eastAsia="仿宋_GB2312"/>
              </w:rPr>
              <w:t>技术响应9</w:t>
            </w:r>
          </w:p>
        </w:tc>
        <w:tc>
          <w:tcPr>
            <w:tcW w:type="dxa" w:w="2492"/>
          </w:tcPr>
          <w:p>
            <w:pPr>
              <w:pStyle w:val="null3"/>
            </w:pPr>
            <w:r>
              <w:rPr>
                <w:rFonts w:ascii="仿宋_GB2312" w:hAnsi="仿宋_GB2312" w:cs="仿宋_GB2312" w:eastAsia="仿宋_GB2312"/>
              </w:rPr>
              <w:t>项目经理部组织机构【6分】 一、评审内容 供应商针对本项目编制完善的项目经理部组织机构，内容包含但不限于：①项目成员配置清单及架构，配备人员主要职责及工作内容等。②技术负责人具备二级建造师证书及安全生产考核合格证书（建安B类）。③配备施工员、质量员、安全员、材料员、资料员主要人员，提供本单位社保缴纳证明材料。二、评审标准 1、内容全面详细，且条理清晰、准确、措施合理具体； 2、内容能够紧扣项目实际情况，内容清晰、合理。 三、赋分标准（满分6分） ①内容完整且完全满足上述评审标准的，得6分； ②内容完整，但条理不清晰、内容不具体且无紧扣项目实际情况的实质性内容，计3分； ③内容缺2项及以下的，计1分；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本项目涉及的特种作业，电焊、高空作业须持有特种操作证，工种配置齐全，得2分，缺少一项扣1分，扣完为止，未提供不得分。（提供近三个月社保缴纳证明)</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以合同形式提供供应商2022年01月至今类似项目业绩，每份计1分，计满3分为止。（以合同签订时间为准，附合同复印件）</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供应商针对本项目编制完善的服务承诺，内容包含但不限于：①对招标文件和合同条款的响应承诺，②针对本项目实际需求提供实质性服务承诺及保障措施，③针对本项目的施工验收后期的质保承诺。 二、评审标准 1、内容全面详细，且条理清晰、准确、措施合理具体； 2、内容能够紧扣项目实际情况，内容清晰、合理。 三、赋分标准（满分3分） ①内容完整且完全满足上述评审标准的，得3分； ②内容完整，但条理不清晰、内容不具体且无紧扣项目实际情况的实质性内容，计2分； ③内容缺2项及以下的，计1分； ④未提供相关内容的不计分。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（铜避雷短针、集中式信号防雷箱、三相电源防雷箱）完全符合、满足竞争性磋商文件技术要求的，计4分；技术指标每有一条负偏离扣1分，基本分扣完为止。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技术规格响应偏离表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报价函 标的清单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详见附件：法定代表人资格证明书</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详见附件：资质证明文件</w:t>
      </w:r>
    </w:p>
    <w:p>
      <w:pPr>
        <w:pStyle w:val="null3"/>
        <w:ind w:firstLine="960"/>
      </w:pPr>
      <w:r>
        <w:rPr>
          <w:rFonts w:ascii="仿宋_GB2312" w:hAnsi="仿宋_GB2312" w:cs="仿宋_GB2312" w:eastAsia="仿宋_GB2312"/>
        </w:rPr>
        <w:t>详见附件：技术、服务、商务及其他要求响应偏离表</w:t>
      </w:r>
    </w:p>
    <w:p>
      <w:pPr>
        <w:pStyle w:val="null3"/>
        <w:ind w:firstLine="960"/>
      </w:pPr>
      <w:r>
        <w:rPr>
          <w:rFonts w:ascii="仿宋_GB2312" w:hAnsi="仿宋_GB2312" w:cs="仿宋_GB2312" w:eastAsia="仿宋_GB2312"/>
        </w:rPr>
        <w:t>详见附件：对竞争性磋商文件及合同条款的承诺</w:t>
      </w:r>
    </w:p>
    <w:p>
      <w:pPr>
        <w:pStyle w:val="null3"/>
        <w:ind w:firstLine="960"/>
      </w:pPr>
      <w:r>
        <w:rPr>
          <w:rFonts w:ascii="仿宋_GB2312" w:hAnsi="仿宋_GB2312" w:cs="仿宋_GB2312" w:eastAsia="仿宋_GB2312"/>
        </w:rPr>
        <w:t>详见附件：工程量清单计价表</w:t>
      </w:r>
    </w:p>
    <w:p>
      <w:pPr>
        <w:pStyle w:val="null3"/>
        <w:ind w:firstLine="960"/>
      </w:pPr>
      <w:r>
        <w:rPr>
          <w:rFonts w:ascii="仿宋_GB2312" w:hAnsi="仿宋_GB2312" w:cs="仿宋_GB2312" w:eastAsia="仿宋_GB2312"/>
        </w:rPr>
        <w:t>详见附件：施工技术响应</w:t>
      </w:r>
    </w:p>
    <w:p>
      <w:pPr>
        <w:pStyle w:val="null3"/>
        <w:ind w:firstLine="960"/>
      </w:pPr>
      <w:r>
        <w:rPr>
          <w:rFonts w:ascii="仿宋_GB2312" w:hAnsi="仿宋_GB2312" w:cs="仿宋_GB2312" w:eastAsia="仿宋_GB2312"/>
        </w:rPr>
        <w:t>详见附件：人员配备</w:t>
      </w:r>
    </w:p>
    <w:p>
      <w:pPr>
        <w:pStyle w:val="null3"/>
        <w:ind w:firstLine="960"/>
      </w:pPr>
      <w:r>
        <w:rPr>
          <w:rFonts w:ascii="仿宋_GB2312" w:hAnsi="仿宋_GB2312" w:cs="仿宋_GB2312" w:eastAsia="仿宋_GB2312"/>
        </w:rPr>
        <w:t>详见附件：业绩情况表</w:t>
      </w:r>
    </w:p>
    <w:p>
      <w:pPr>
        <w:pStyle w:val="null3"/>
        <w:ind w:firstLine="960"/>
      </w:pPr>
      <w:r>
        <w:rPr>
          <w:rFonts w:ascii="仿宋_GB2312" w:hAnsi="仿宋_GB2312" w:cs="仿宋_GB2312" w:eastAsia="仿宋_GB2312"/>
        </w:rPr>
        <w:t>详见附件：服务承诺</w:t>
      </w:r>
    </w:p>
    <w:p>
      <w:pPr>
        <w:pStyle w:val="null3"/>
        <w:ind w:firstLine="960"/>
      </w:pPr>
      <w:r>
        <w:rPr>
          <w:rFonts w:ascii="仿宋_GB2312" w:hAnsi="仿宋_GB2312" w:cs="仿宋_GB2312" w:eastAsia="仿宋_GB2312"/>
        </w:rPr>
        <w:t>详见附件：技术规格响应偏离表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详见附件：供应商参与政府采购活动的承诺函</w:t>
      </w:r>
    </w:p>
    <w:p>
      <w:pPr>
        <w:pStyle w:val="null3"/>
        <w:ind w:firstLine="960"/>
      </w:pPr>
      <w:r>
        <w:rPr>
          <w:rFonts w:ascii="仿宋_GB2312" w:hAnsi="仿宋_GB2312" w:cs="仿宋_GB2312" w:eastAsia="仿宋_GB2312"/>
        </w:rPr>
        <w:t>详见附件：拒绝政府采购领域商业贿赂承诺书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