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版本号：SXKKSYFGS2025-01220250522001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南郊中学采购实验室、教室护眼灯</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SXKKSYFGS2025-012</w:t>
      </w:r>
      <w:r>
        <w:br/>
      </w:r>
      <w:r>
        <w:br/>
      </w:r>
      <w:r>
        <w:br/>
      </w:r>
    </w:p>
    <w:p>
      <w:pPr>
        <w:pStyle w:val="null3"/>
        <w:jc w:val="center"/>
        <w:outlineLvl w:val="2"/>
      </w:pPr>
      <w:r>
        <w:rPr>
          <w:rFonts w:ascii="仿宋_GB2312" w:hAnsi="仿宋_GB2312" w:cs="仿宋_GB2312" w:eastAsia="仿宋_GB2312"/>
          <w:sz w:val="28"/>
          <w:b/>
        </w:rPr>
        <w:t>三原县南郊中学</w:t>
      </w:r>
    </w:p>
    <w:p>
      <w:pPr>
        <w:pStyle w:val="null3"/>
        <w:jc w:val="center"/>
        <w:outlineLvl w:val="2"/>
      </w:pPr>
      <w:r>
        <w:rPr>
          <w:rFonts w:ascii="仿宋_GB2312" w:hAnsi="仿宋_GB2312" w:cs="仿宋_GB2312" w:eastAsia="仿宋_GB2312"/>
          <w:sz w:val="28"/>
          <w:b/>
        </w:rPr>
        <w:t>陕西夸克工程造价咨询有限公司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陕西夸克工程造价咨询有限公司</w:t>
      </w:r>
      <w:r>
        <w:rPr>
          <w:rFonts w:ascii="仿宋_GB2312" w:hAnsi="仿宋_GB2312" w:cs="仿宋_GB2312" w:eastAsia="仿宋_GB2312"/>
        </w:rPr>
        <w:t>（以下简称“代理机构”）受</w:t>
      </w:r>
      <w:r>
        <w:rPr>
          <w:rFonts w:ascii="仿宋_GB2312" w:hAnsi="仿宋_GB2312" w:cs="仿宋_GB2312" w:eastAsia="仿宋_GB2312"/>
        </w:rPr>
        <w:t>三原县南郊中学</w:t>
      </w:r>
      <w:r>
        <w:rPr>
          <w:rFonts w:ascii="仿宋_GB2312" w:hAnsi="仿宋_GB2312" w:cs="仿宋_GB2312" w:eastAsia="仿宋_GB2312"/>
        </w:rPr>
        <w:t>委托，拟对</w:t>
      </w:r>
      <w:r>
        <w:rPr>
          <w:rFonts w:ascii="仿宋_GB2312" w:hAnsi="仿宋_GB2312" w:cs="仿宋_GB2312" w:eastAsia="仿宋_GB2312"/>
        </w:rPr>
        <w:t>南郊中学采购实验室、教室护眼灯</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SXKKSYFGS2025-012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南郊中学采购实验室、教室护眼灯</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实验室、教室护眼灯采购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采购包1（三原县南郊中学采购实验室、教室护眼灯）：属于专门面向中小企业采购。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1、纳税证明：提供2024年05月至今已缴纳的至少一个月的纳税证明或完税证明（任意税种），依法免税的单位应提供相关证明材料</w:t>
      </w:r>
    </w:p>
    <w:p>
      <w:pPr>
        <w:pStyle w:val="null3"/>
      </w:pPr>
      <w:r>
        <w:rPr>
          <w:rFonts w:ascii="仿宋_GB2312" w:hAnsi="仿宋_GB2312" w:cs="仿宋_GB2312" w:eastAsia="仿宋_GB2312"/>
        </w:rPr>
        <w:t>2、社保：提供2024年05月至今已缴存的至少一个月的社会保障资金缴存单据或社保机构开具的社会保险参保缴费情况证明，依法不需要缴纳社会保障资金的单位应提供相关证明材料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3、声明：提供具有履行本合同所必需的设备和专业技术能力的声明</w:t>
      </w:r>
    </w:p>
    <w:p>
      <w:pPr>
        <w:pStyle w:val="null3"/>
      </w:pPr>
      <w:r>
        <w:rPr>
          <w:rFonts w:ascii="仿宋_GB2312" w:hAnsi="仿宋_GB2312" w:cs="仿宋_GB2312" w:eastAsia="仿宋_GB2312"/>
        </w:rPr>
        <w:t>4、重大违法声明：供应商参加采购活动近3年内经营活动中没有重大违法记录声明</w:t>
      </w:r>
    </w:p>
    <w:p>
      <w:pPr>
        <w:pStyle w:val="null3"/>
      </w:pPr>
      <w:r>
        <w:rPr>
          <w:rFonts w:ascii="仿宋_GB2312" w:hAnsi="仿宋_GB2312" w:cs="仿宋_GB2312" w:eastAsia="仿宋_GB2312"/>
        </w:rPr>
        <w:t>5、非联合体：供应商负责人不得为同一人或者存在控股、管理关系</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三原县南郊中学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三原县南环路东段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13991022668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陕西夸克工程造价咨询有限公司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陕西省西安市未央区萧家北巷文景尚品12楼1218室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邬女士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13325304067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席先生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029-32268653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采购包1：479,250.00元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代理服务费收费标准：参照国家计委计价格[2002]1980号及发改办价格[2003]857号通知规定，由成交供应商支付采购代理服务费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三原县南郊中学</w:t>
      </w:r>
      <w:r>
        <w:rPr>
          <w:rFonts w:ascii="仿宋_GB2312" w:hAnsi="仿宋_GB2312" w:cs="仿宋_GB2312" w:eastAsia="仿宋_GB2312"/>
        </w:rPr>
        <w:t>和</w:t>
      </w:r>
      <w:r>
        <w:rPr>
          <w:rFonts w:ascii="仿宋_GB2312" w:hAnsi="仿宋_GB2312" w:cs="仿宋_GB2312" w:eastAsia="仿宋_GB2312"/>
        </w:rPr>
        <w:t>陕西夸克工程造价咨询有限公司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三原县南郊中学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陕西夸克工程造价咨询有限公司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陕西夸克工程造价咨询有限公司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达到货物施工质量验收合格标准，满足项目要求;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陕西夸克工程造价咨询有限公司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陕西夸克工程造价咨询有限公司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陕西夸克工程造价咨询有限公司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联系人：邬女士</w:t>
      </w:r>
    </w:p>
    <w:p>
      <w:pPr>
        <w:pStyle w:val="null3"/>
      </w:pPr>
      <w:r>
        <w:rPr>
          <w:rFonts w:ascii="仿宋_GB2312" w:hAnsi="仿宋_GB2312" w:cs="仿宋_GB2312" w:eastAsia="仿宋_GB2312"/>
        </w:rPr>
        <w:t>联系电话：13325304067</w:t>
      </w:r>
    </w:p>
    <w:p>
      <w:pPr>
        <w:pStyle w:val="null3"/>
      </w:pPr>
      <w:r>
        <w:rPr>
          <w:rFonts w:ascii="仿宋_GB2312" w:hAnsi="仿宋_GB2312" w:cs="仿宋_GB2312" w:eastAsia="仿宋_GB2312"/>
        </w:rPr>
        <w:t>地址：陕西省咸阳市三原县城关街道办事处冶金大道和平村华阳物流斜对面一号会议室</w:t>
      </w:r>
    </w:p>
    <w:p>
      <w:pPr>
        <w:pStyle w:val="null3"/>
      </w:pPr>
      <w:r>
        <w:rPr>
          <w:rFonts w:ascii="仿宋_GB2312" w:hAnsi="仿宋_GB2312" w:cs="仿宋_GB2312" w:eastAsia="仿宋_GB2312"/>
        </w:rPr>
        <w:t>邮编：713800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三原县南郊中学为了改善教室目前灯光照明设备频闪、能耗高，不利于学生眼睛健康问题，给师生提供一个优质高效的健康光环境。拆除原有实验室、教室白炽灯管照明设备,购置实验室、教室新型节能护眼灯具675盏，共75间教室。</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479,250.00</w:t>
      </w:r>
    </w:p>
    <w:p>
      <w:pPr>
        <w:pStyle w:val="null3"/>
      </w:pPr>
      <w:r>
        <w:rPr>
          <w:rFonts w:ascii="仿宋_GB2312" w:hAnsi="仿宋_GB2312" w:cs="仿宋_GB2312" w:eastAsia="仿宋_GB2312"/>
        </w:rPr>
        <w:t>采购包最高限价（元）: 479,250.00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三原县南郊中学采购实验室、教室护眼灯</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479,250.00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标的名称：三原县南郊中学采购实验室、教室护眼灯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4"/>
              <w:gridCol w:w="380"/>
              <w:gridCol w:w="1989"/>
            </w:tblGrid>
            <w:tr>
              <w:tc>
                <w:tcPr>
                  <w:tcW w:type="dxa" w:w="184"/>
                  <w:tcBorders>
                    <w:top w:val="singl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序号</w:t>
                  </w:r>
                </w:p>
              </w:tc>
              <w:tc>
                <w:tcPr>
                  <w:tcW w:type="dxa" w:w="380"/>
                  <w:tcBorders>
                    <w:top w:val="singl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标的名称</w:t>
                  </w:r>
                </w:p>
              </w:tc>
              <w:tc>
                <w:tcPr>
                  <w:tcW w:type="dxa" w:w="1989"/>
                  <w:tcBorders>
                    <w:top w:val="singl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技术规格</w:t>
                  </w:r>
                </w:p>
              </w:tc>
            </w:tr>
            <w:tr>
              <w:tc>
                <w:tcPr>
                  <w:tcW w:type="dxa" w:w="184"/>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80"/>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LED教室灯（核心产品）</w:t>
                  </w:r>
                </w:p>
              </w:tc>
              <w:tc>
                <w:tcPr>
                  <w:tcW w:type="dxa" w:w="1989"/>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1、LED教室灯采用一体式防眩格栅结构，灯具的表面平整、无凹陷、无毛刺，焊缝无透光现象，表面氧化处理或喷塑后灯具表面均匀、光洁，无流挂现象；</w:t>
                  </w:r>
                </w:p>
                <w:p>
                  <w:pPr>
                    <w:pStyle w:val="null3"/>
                    <w:jc w:val="left"/>
                  </w:pPr>
                  <w:r>
                    <w:rPr>
                      <w:rFonts w:ascii="仿宋_GB2312" w:hAnsi="仿宋_GB2312" w:cs="仿宋_GB2312" w:eastAsia="仿宋_GB2312"/>
                      <w:sz w:val="21"/>
                    </w:rPr>
                    <w:t>2、LED教室灯满足色温（相关色温）：3300-5300K；</w:t>
                  </w:r>
                </w:p>
                <w:p>
                  <w:pPr>
                    <w:pStyle w:val="null3"/>
                    <w:jc w:val="left"/>
                  </w:pPr>
                  <w:r>
                    <w:rPr>
                      <w:rFonts w:ascii="仿宋_GB2312" w:hAnsi="仿宋_GB2312" w:cs="仿宋_GB2312" w:eastAsia="仿宋_GB2312"/>
                      <w:sz w:val="21"/>
                    </w:rPr>
                    <w:t>3、LED教室灯满足显色指数：Ra≥95、R9≥50；</w:t>
                  </w:r>
                </w:p>
                <w:p>
                  <w:pPr>
                    <w:pStyle w:val="null3"/>
                    <w:jc w:val="left"/>
                  </w:pPr>
                  <w:r>
                    <w:rPr>
                      <w:rFonts w:ascii="仿宋_GB2312" w:hAnsi="仿宋_GB2312" w:cs="仿宋_GB2312" w:eastAsia="仿宋_GB2312"/>
                      <w:sz w:val="21"/>
                    </w:rPr>
                    <w:t>4、LED教室灯满足功率36±2W，功率因数：≥0.95；</w:t>
                  </w:r>
                </w:p>
                <w:p>
                  <w:pPr>
                    <w:pStyle w:val="null3"/>
                    <w:jc w:val="left"/>
                  </w:pPr>
                  <w:r>
                    <w:rPr>
                      <w:rFonts w:ascii="仿宋_GB2312" w:hAnsi="仿宋_GB2312" w:cs="仿宋_GB2312" w:eastAsia="仿宋_GB2312"/>
                      <w:sz w:val="21"/>
                    </w:rPr>
                    <w:t>5、LED教室灯满足</w:t>
                  </w:r>
                  <w:r>
                    <w:rPr>
                      <w:rFonts w:ascii="仿宋_GB2312" w:hAnsi="仿宋_GB2312" w:cs="仿宋_GB2312" w:eastAsia="仿宋_GB2312"/>
                      <w:sz w:val="21"/>
                    </w:rPr>
                    <w:t>色容差</w:t>
                  </w:r>
                  <w:r>
                    <w:rPr>
                      <w:rFonts w:ascii="仿宋_GB2312" w:hAnsi="仿宋_GB2312" w:cs="仿宋_GB2312" w:eastAsia="仿宋_GB2312"/>
                      <w:sz w:val="21"/>
                    </w:rPr>
                    <w:t>≤3 SDCM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6、LED教室灯总光通量≥3400lm，灯具效能≥85lm/W，产品寿命≥50000小时；</w:t>
                  </w:r>
                </w:p>
                <w:p>
                  <w:pPr>
                    <w:pStyle w:val="null3"/>
                    <w:jc w:val="left"/>
                  </w:pPr>
                  <w:r>
                    <w:rPr>
                      <w:rFonts w:ascii="仿宋_GB2312" w:hAnsi="仿宋_GB2312" w:cs="仿宋_GB2312" w:eastAsia="仿宋_GB2312"/>
                      <w:sz w:val="21"/>
                    </w:rPr>
                    <w:t>7、在普通中小学校教室真实环境中检测满足：课桌面维持平均照度≥300Lx，课桌面照度均匀度≥0.7，眩光值＜16；</w:t>
                  </w:r>
                </w:p>
                <w:p>
                  <w:pPr>
                    <w:pStyle w:val="null3"/>
                    <w:jc w:val="left"/>
                  </w:pPr>
                  <w:r>
                    <w:rPr>
                      <w:rFonts w:ascii="仿宋_GB2312" w:hAnsi="仿宋_GB2312" w:cs="仿宋_GB2312" w:eastAsia="仿宋_GB2312"/>
                      <w:sz w:val="21"/>
                    </w:rPr>
                    <w:t>8、LED教室灯符合 20kHz~10MHz 频率范围内电场产生的感应电流密度＜0.85；</w:t>
                  </w:r>
                </w:p>
                <w:p>
                  <w:pPr>
                    <w:pStyle w:val="null3"/>
                    <w:jc w:val="left"/>
                  </w:pPr>
                  <w:r>
                    <w:rPr>
                      <w:rFonts w:ascii="仿宋_GB2312" w:hAnsi="仿宋_GB2312" w:cs="仿宋_GB2312" w:eastAsia="仿宋_GB2312"/>
                      <w:sz w:val="21"/>
                    </w:rPr>
                    <w:t>9、LED教室灯符合《GB/T 26572-2011》及《GB/T 26125-2011》标准；</w:t>
                  </w:r>
                </w:p>
                <w:p>
                  <w:pPr>
                    <w:pStyle w:val="null3"/>
                    <w:jc w:val="left"/>
                  </w:pPr>
                  <w:r>
                    <w:rPr>
                      <w:rFonts w:ascii="仿宋_GB2312" w:hAnsi="仿宋_GB2312" w:cs="仿宋_GB2312" w:eastAsia="仿宋_GB2312"/>
                      <w:sz w:val="21"/>
                    </w:rPr>
                    <w:t>▲10、LED教室灯蓝光等级：RG0或0类危险或其他同等标准；</w:t>
                  </w:r>
                </w:p>
                <w:p>
                  <w:pPr>
                    <w:pStyle w:val="null3"/>
                    <w:jc w:val="left"/>
                  </w:pPr>
                  <w:r>
                    <w:rPr>
                      <w:rFonts w:ascii="仿宋_GB2312" w:hAnsi="仿宋_GB2312" w:cs="仿宋_GB2312" w:eastAsia="仿宋_GB2312"/>
                      <w:sz w:val="21"/>
                    </w:rPr>
                    <w:t>▲11、LED教室灯频闪质量特征：无显著影响水平或无频闪危害或其他同等标准；</w:t>
                  </w:r>
                </w:p>
                <w:p>
                  <w:pPr>
                    <w:pStyle w:val="null3"/>
                    <w:jc w:val="left"/>
                  </w:pPr>
                  <w:r>
                    <w:rPr>
                      <w:rFonts w:ascii="仿宋_GB2312" w:hAnsi="仿宋_GB2312" w:cs="仿宋_GB2312" w:eastAsia="仿宋_GB2312"/>
                      <w:sz w:val="21"/>
                    </w:rPr>
                    <w:t>12、LED教室灯需通过 GB 40070-2021《儿童青少年学习用品近视防控卫生要求》的标准测试；</w:t>
                  </w:r>
                </w:p>
                <w:p>
                  <w:pPr>
                    <w:pStyle w:val="null3"/>
                    <w:jc w:val="left"/>
                  </w:pPr>
                  <w:r>
                    <w:rPr>
                      <w:rFonts w:ascii="仿宋_GB2312" w:hAnsi="仿宋_GB2312" w:cs="仿宋_GB2312" w:eastAsia="仿宋_GB2312"/>
                      <w:sz w:val="21"/>
                    </w:rPr>
                    <w:t>注：第</w:t>
                  </w:r>
                  <w:r>
                    <w:rPr>
                      <w:rFonts w:ascii="仿宋_GB2312" w:hAnsi="仿宋_GB2312" w:cs="仿宋_GB2312" w:eastAsia="仿宋_GB2312"/>
                      <w:sz w:val="21"/>
                    </w:rPr>
                    <w:t>2-9条提供检测机构出具的封面带有CMA及CNAS标志的检测报告复印件、第10-12项提供认证证书复印件，提供的检测报告及证书需提供全国认证认可信息公共服务平台查询截图。</w:t>
                  </w:r>
                </w:p>
              </w:tc>
            </w:tr>
            <w:tr>
              <w:tc>
                <w:tcPr>
                  <w:tcW w:type="dxa" w:w="184"/>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w:t>
                  </w:r>
                </w:p>
              </w:tc>
              <w:tc>
                <w:tcPr>
                  <w:tcW w:type="dxa" w:w="380"/>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LED黑板灯</w:t>
                  </w:r>
                </w:p>
              </w:tc>
              <w:tc>
                <w:tcPr>
                  <w:tcW w:type="dxa" w:w="1989"/>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1、LED黑板灯采用一体式防眩结构，灯具的表面平整、无凹陷、无毛刺，焊缝无透光现象；</w:t>
                  </w:r>
                </w:p>
                <w:p>
                  <w:pPr>
                    <w:pStyle w:val="null3"/>
                    <w:jc w:val="left"/>
                  </w:pPr>
                  <w:r>
                    <w:rPr>
                      <w:rFonts w:ascii="仿宋_GB2312" w:hAnsi="仿宋_GB2312" w:cs="仿宋_GB2312" w:eastAsia="仿宋_GB2312"/>
                      <w:sz w:val="21"/>
                    </w:rPr>
                    <w:t>2、LED黑板灯满足色温（相关色温）：3300-5500K；</w:t>
                  </w:r>
                </w:p>
                <w:p>
                  <w:pPr>
                    <w:pStyle w:val="null3"/>
                    <w:jc w:val="left"/>
                  </w:pPr>
                  <w:r>
                    <w:rPr>
                      <w:rFonts w:ascii="仿宋_GB2312" w:hAnsi="仿宋_GB2312" w:cs="仿宋_GB2312" w:eastAsia="仿宋_GB2312"/>
                      <w:sz w:val="21"/>
                    </w:rPr>
                    <w:t>3、LED黑板灯满足显色指数：Ra≥95、R9≥90；</w:t>
                  </w:r>
                </w:p>
                <w:p>
                  <w:pPr>
                    <w:pStyle w:val="null3"/>
                    <w:jc w:val="left"/>
                  </w:pPr>
                  <w:r>
                    <w:rPr>
                      <w:rFonts w:ascii="仿宋_GB2312" w:hAnsi="仿宋_GB2312" w:cs="仿宋_GB2312" w:eastAsia="仿宋_GB2312"/>
                      <w:sz w:val="21"/>
                    </w:rPr>
                    <w:t>4、LED黑板灯满足功率：36±2W，功率因数：≥0.95；</w:t>
                  </w:r>
                </w:p>
                <w:p>
                  <w:pPr>
                    <w:pStyle w:val="null3"/>
                    <w:jc w:val="left"/>
                  </w:pPr>
                  <w:r>
                    <w:rPr>
                      <w:rFonts w:ascii="仿宋_GB2312" w:hAnsi="仿宋_GB2312" w:cs="仿宋_GB2312" w:eastAsia="仿宋_GB2312"/>
                      <w:sz w:val="21"/>
                    </w:rPr>
                    <w:t>5、LED黑板灯满足</w:t>
                  </w:r>
                  <w:r>
                    <w:rPr>
                      <w:rFonts w:ascii="仿宋_GB2312" w:hAnsi="仿宋_GB2312" w:cs="仿宋_GB2312" w:eastAsia="仿宋_GB2312"/>
                      <w:sz w:val="21"/>
                    </w:rPr>
                    <w:t>色容差</w:t>
                  </w:r>
                  <w:r>
                    <w:rPr>
                      <w:rFonts w:ascii="仿宋_GB2312" w:hAnsi="仿宋_GB2312" w:cs="仿宋_GB2312" w:eastAsia="仿宋_GB2312"/>
                      <w:sz w:val="21"/>
                    </w:rPr>
                    <w:t>≤3 SDCM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6、LED黑板灯总光通量≥3400lm，灯具效能≥85lm/W，产品寿命≥50000小时；</w:t>
                  </w:r>
                </w:p>
                <w:p>
                  <w:pPr>
                    <w:pStyle w:val="null3"/>
                    <w:jc w:val="left"/>
                  </w:pPr>
                  <w:r>
                    <w:rPr>
                      <w:rFonts w:ascii="仿宋_GB2312" w:hAnsi="仿宋_GB2312" w:cs="仿宋_GB2312" w:eastAsia="仿宋_GB2312"/>
                      <w:sz w:val="21"/>
                    </w:rPr>
                    <w:t>7、在普通中小学校教室真实环境中检测满足：黑板面维持平均照度≥500Lx，黑板面照度均匀度≥0.8；</w:t>
                  </w:r>
                </w:p>
                <w:p>
                  <w:pPr>
                    <w:pStyle w:val="null3"/>
                    <w:jc w:val="left"/>
                  </w:pPr>
                  <w:r>
                    <w:rPr>
                      <w:rFonts w:ascii="仿宋_GB2312" w:hAnsi="仿宋_GB2312" w:cs="仿宋_GB2312" w:eastAsia="仿宋_GB2312"/>
                      <w:sz w:val="21"/>
                    </w:rPr>
                    <w:t>8、LED黑板灯符合 20kHz~10MHz 频率范围内电场产生的感应电流密度＜0.85；</w:t>
                  </w:r>
                </w:p>
                <w:p>
                  <w:pPr>
                    <w:pStyle w:val="null3"/>
                    <w:jc w:val="left"/>
                  </w:pPr>
                  <w:r>
                    <w:rPr>
                      <w:rFonts w:ascii="仿宋_GB2312" w:hAnsi="仿宋_GB2312" w:cs="仿宋_GB2312" w:eastAsia="仿宋_GB2312"/>
                      <w:sz w:val="21"/>
                    </w:rPr>
                    <w:t>9、LED黑板灯符合《GB/T 26572-2011》及《GB/T 26125-2011》标准；</w:t>
                  </w:r>
                </w:p>
                <w:p>
                  <w:pPr>
                    <w:pStyle w:val="null3"/>
                    <w:jc w:val="left"/>
                  </w:pPr>
                  <w:r>
                    <w:rPr>
                      <w:rFonts w:ascii="仿宋_GB2312" w:hAnsi="仿宋_GB2312" w:cs="仿宋_GB2312" w:eastAsia="仿宋_GB2312"/>
                      <w:sz w:val="21"/>
                    </w:rPr>
                    <w:t>▲10、LED黑板灯蓝光等级：RG0或0类危险或其他同等标准；</w:t>
                  </w:r>
                </w:p>
                <w:p>
                  <w:pPr>
                    <w:pStyle w:val="null3"/>
                    <w:jc w:val="left"/>
                  </w:pPr>
                  <w:r>
                    <w:rPr>
                      <w:rFonts w:ascii="仿宋_GB2312" w:hAnsi="仿宋_GB2312" w:cs="仿宋_GB2312" w:eastAsia="仿宋_GB2312"/>
                      <w:sz w:val="21"/>
                    </w:rPr>
                    <w:t>▲11、LED黑板灯频闪质量特征：无显著影响水平或无频闪危害或其他同等标准；</w:t>
                  </w:r>
                </w:p>
                <w:p>
                  <w:pPr>
                    <w:pStyle w:val="null3"/>
                    <w:jc w:val="left"/>
                  </w:pPr>
                  <w:r>
                    <w:rPr>
                      <w:rFonts w:ascii="仿宋_GB2312" w:hAnsi="仿宋_GB2312" w:cs="仿宋_GB2312" w:eastAsia="仿宋_GB2312"/>
                      <w:sz w:val="21"/>
                    </w:rPr>
                    <w:t>12、LED黑板灯需通过 GB 40070-2021《儿童青少年学习用品近视防控卫生要求》的标准测试；</w:t>
                  </w:r>
                </w:p>
                <w:p>
                  <w:pPr>
                    <w:pStyle w:val="null3"/>
                    <w:jc w:val="left"/>
                  </w:pPr>
                  <w:r>
                    <w:rPr>
                      <w:rFonts w:ascii="仿宋_GB2312" w:hAnsi="仿宋_GB2312" w:cs="仿宋_GB2312" w:eastAsia="仿宋_GB2312"/>
                      <w:sz w:val="21"/>
                    </w:rPr>
                    <w:t>注：第</w:t>
                  </w:r>
                  <w:r>
                    <w:rPr>
                      <w:rFonts w:ascii="仿宋_GB2312" w:hAnsi="仿宋_GB2312" w:cs="仿宋_GB2312" w:eastAsia="仿宋_GB2312"/>
                      <w:sz w:val="21"/>
                    </w:rPr>
                    <w:t>2-9条提供检测机构出具的封面带有CMA及CNAS标志的检测报告复印件、第10-12项提供认证证书复印件，提供的检测报告及证书需提供全国认证认可信息公共服务平台查询截图。</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三原县南郊中学内</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验收完毕后通过银行转账付清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项目按照计划工期完成后，达到设计要求并符合相关规定及验收标准，经双方组织验收满足项目要求达到合格质量。</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所有完工项目，保修期一年。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在履行过程中发生的与之有关的任何争议,双方友好协商解决,协商不成的,由仲裁机构裁决。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提供2024年05月至今已缴纳的至少一个月的纳税证明或完税证明（任意税种），依法免税的单位应提供相关证明材料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社保</w:t>
            </w:r>
          </w:p>
        </w:tc>
        <w:tc>
          <w:tcPr>
            <w:tcW w:type="dxa" w:w="3322"/>
          </w:tcPr>
          <w:p>
            <w:pPr>
              <w:pStyle w:val="null3"/>
            </w:pPr>
            <w:r>
              <w:rPr>
                <w:rFonts w:ascii="仿宋_GB2312" w:hAnsi="仿宋_GB2312" w:cs="仿宋_GB2312" w:eastAsia="仿宋_GB2312"/>
              </w:rPr>
              <w:t>提供2024年05月至今已缴存的至少一个月的社会保障资金缴存单据或社保机构开具的社会保险参保缴费情况证明，依法不需要缴纳社会保障资金的单位应提供相关证明材料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重大违法声明</w:t>
            </w:r>
          </w:p>
        </w:tc>
        <w:tc>
          <w:tcPr>
            <w:tcW w:type="dxa" w:w="3322"/>
          </w:tcPr>
          <w:p>
            <w:pPr>
              <w:pStyle w:val="null3"/>
            </w:pPr>
            <w:r>
              <w:rPr>
                <w:rFonts w:ascii="仿宋_GB2312" w:hAnsi="仿宋_GB2312" w:cs="仿宋_GB2312" w:eastAsia="仿宋_GB2312"/>
              </w:rPr>
              <w:t>供应商参加采购活动近3年内经营活动中没有重大违法记录声明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供应商负责人不得为同一人或者存在控股、管理关系</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投标人名称营业执照/事业单位法人证书/专业服务机构执业许可证/民办非企业单位登记证书一致性；</w:t>
            </w:r>
          </w:p>
        </w:tc>
        <w:tc>
          <w:tcPr>
            <w:tcW w:type="dxa" w:w="3322"/>
          </w:tcPr>
          <w:p>
            <w:pPr>
              <w:pStyle w:val="null3"/>
            </w:pPr>
            <w:r>
              <w:rPr>
                <w:rFonts w:ascii="仿宋_GB2312" w:hAnsi="仿宋_GB2312" w:cs="仿宋_GB2312" w:eastAsia="仿宋_GB2312"/>
              </w:rPr>
              <w:t>投标人名称应与有效存续的企业营业执照/事业单位法人证书/专业服务机构执业许可证/民办非企业单位登记证书一致</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报价的符合性</w:t>
            </w:r>
          </w:p>
        </w:tc>
        <w:tc>
          <w:tcPr>
            <w:tcW w:type="dxa" w:w="3322"/>
          </w:tcPr>
          <w:p>
            <w:pPr>
              <w:pStyle w:val="null3"/>
            </w:pPr>
            <w:r>
              <w:rPr>
                <w:rFonts w:ascii="仿宋_GB2312" w:hAnsi="仿宋_GB2312" w:cs="仿宋_GB2312" w:eastAsia="仿宋_GB2312"/>
              </w:rPr>
              <w:t>只能有一个报价，且不超过采购预算（最高限价）</w:t>
            </w:r>
          </w:p>
        </w:tc>
        <w:tc>
          <w:tcPr>
            <w:tcW w:type="dxa" w:w="1661"/>
          </w:tcPr>
          <w:p>
            <w:pPr>
              <w:pStyle w:val="null3"/>
            </w:pPr>
            <w:r>
              <w:rPr>
                <w:rFonts w:ascii="仿宋_GB2312" w:hAnsi="仿宋_GB2312" w:cs="仿宋_GB2312" w:eastAsia="仿宋_GB2312"/>
              </w:rPr>
              <w:t>响应文件封面 商务应答表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招标有效期</w:t>
            </w:r>
          </w:p>
        </w:tc>
        <w:tc>
          <w:tcPr>
            <w:tcW w:type="dxa" w:w="3322"/>
          </w:tcPr>
          <w:p>
            <w:pPr>
              <w:pStyle w:val="null3"/>
            </w:pPr>
            <w:r>
              <w:rPr>
                <w:rFonts w:ascii="仿宋_GB2312" w:hAnsi="仿宋_GB2312" w:cs="仿宋_GB2312" w:eastAsia="仿宋_GB2312"/>
              </w:rPr>
              <w:t>招标有效期是否满足招标最低要求90天的</w:t>
            </w:r>
          </w:p>
        </w:tc>
        <w:tc>
          <w:tcPr>
            <w:tcW w:type="dxa" w:w="1661"/>
          </w:tcPr>
          <w:p>
            <w:pPr>
              <w:pStyle w:val="null3"/>
            </w:pPr>
            <w:r>
              <w:rPr>
                <w:rFonts w:ascii="仿宋_GB2312" w:hAnsi="仿宋_GB2312" w:cs="仿宋_GB2312" w:eastAsia="仿宋_GB2312"/>
              </w:rPr>
              <w:t>响应文件封面 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招标响应文件的签字盖章</w:t>
            </w:r>
          </w:p>
        </w:tc>
        <w:tc>
          <w:tcPr>
            <w:tcW w:type="dxa" w:w="3322"/>
          </w:tcPr>
          <w:p>
            <w:pPr>
              <w:pStyle w:val="null3"/>
            </w:pPr>
            <w:r>
              <w:rPr>
                <w:rFonts w:ascii="仿宋_GB2312" w:hAnsi="仿宋_GB2312" w:cs="仿宋_GB2312" w:eastAsia="仿宋_GB2312"/>
              </w:rPr>
              <w:t>招标响应文件的签字盖章是否按照招标文件要 求进行的</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供应商名称字章</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企业证书</w:t>
            </w:r>
          </w:p>
        </w:tc>
        <w:tc>
          <w:tcPr>
            <w:tcW w:type="dxa" w:w="2492"/>
          </w:tcPr>
          <w:p>
            <w:pPr>
              <w:pStyle w:val="null3"/>
            </w:pPr>
            <w:r>
              <w:rPr>
                <w:rFonts w:ascii="仿宋_GB2312" w:hAnsi="仿宋_GB2312" w:cs="仿宋_GB2312" w:eastAsia="仿宋_GB2312"/>
              </w:rPr>
              <w:t>所投产品制造商具有有效期内且认证范围包含LED教室灯、LED黑板灯，符合GB/T19001-2016/ISO9001：2015标准的质量管理体系认证证书、符合GB/T 24001-2016/ISO 14001:2015 标准的环境管理体系认证证书、符合GB/T 45001-2020/ISO 45001:2018 标准的职业健康安全管理体系认证证书、符合GB/T 27922-2011标准的售后服务评价体系五星级证书、符合GB/T31950-2015标准的企业诚信管理体系认证证书同时满足得5分，不满足或提供不全不得分。提供国家市场监督管理总局官方网站查询截图证明（查询结果体现的证书编号及证书范围应与证书一致）及证书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技术特性</w:t>
            </w:r>
          </w:p>
        </w:tc>
        <w:tc>
          <w:tcPr>
            <w:tcW w:type="dxa" w:w="2492"/>
          </w:tcPr>
          <w:p>
            <w:pPr>
              <w:pStyle w:val="null3"/>
            </w:pPr>
            <w:r>
              <w:rPr>
                <w:rFonts w:ascii="仿宋_GB2312" w:hAnsi="仿宋_GB2312" w:cs="仿宋_GB2312" w:eastAsia="仿宋_GB2312"/>
              </w:rPr>
              <w:t>设备技术参数全部满足招标要求； 1、打▲号指标为重要参数，每一项负偏离扣2分，扣完为止； 2、非打▲号指标不满足的每有一项扣1分，扣完为止；</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产品优异性</w:t>
            </w:r>
          </w:p>
        </w:tc>
        <w:tc>
          <w:tcPr>
            <w:tcW w:type="dxa" w:w="2492"/>
          </w:tcPr>
          <w:p>
            <w:pPr>
              <w:pStyle w:val="null3"/>
            </w:pPr>
            <w:r>
              <w:rPr>
                <w:rFonts w:ascii="仿宋_GB2312" w:hAnsi="仿宋_GB2312" w:cs="仿宋_GB2312" w:eastAsia="仿宋_GB2312"/>
              </w:rPr>
              <w:t>1、所投LED教室灯、LED黑板灯均满足：通过依据《GB/T 18595-2014》为标准的浪涌试验、射频电磁场试验，结论为符合的电磁兼容抗扰度认证，得3分。 2、所投LED教室灯、LED黑板灯均满足：通过依据《GB/T 39822》、《GB/T 31897.201》、《GB/T 24824》、《DQT-GF11-RZ-2023》为标准的耐老化黄变性能认证，得3分。 3、所投LED教室灯、LED黑板灯均满足：通过依据《GB/T33721-2017》为标准的高温操作试验、低温启动试验，结论为符合的可靠性认证，得3分。 4、所投LED教室灯、LED黑板灯均满足：通过依据《GB 40070-2021》、《GB 7000.1-2015》、《GB/T 31897.1》、《GB/T 36979》、《GB/T 40775》、《GB/T 9468》、《DQT-GF10-RZ-2023》为标准的优质光谱认证，得3分。 备注：（1-4）条提供第三方认证机构出具的认证证书复印件及证书编号在全国认证认可信息公共服务平台查询截图。 5、所投LED黑板灯在普通中小学校教室真实环境中使用三年后的检测满足：黑板面平均照度≥800Lx，黑板面均匀度≥0.9，黑板面平均照度维持率≥93%；同时满足以上参数的，得3分，有一项不满足则不得分。 6、所投LED教室灯在普通中小学校教室真实环境中使用三年后的检测满足：课桌面平均照度≥600Lx，课桌面均匀度≥0.80，课桌面平均照度维持率≥93%，百勒克斯功率密度≤1W/m2/100lx；眩光值（UGR）≤12，同时满足以上参数的，得3分，有一项不满足则不得分。 备注：（5-6）条提供第三方检测机构出具的封面带有CMA及CNAS标志的初始检测报告和三年后的检测报告复印件及检测报告编号在全国认证认可信息公共服务平台的查询证明复印件并加盖制造企业公章，</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投标人根据本项目的采购需求、技术标准及要求编制专业照明设计方案含设计说明：①设计依据、②光学照明设计、③施工点位图、④设计报告，完全满足采购需求、内容完善、描述清晰的每提供一个方案得2分，此项最多得8分。以上每有一项内容缺失的扣 2 分；每有一项内容缺陷（缺陷是指：存在不适用项目实际情况的情形、凭空编造、套用其他项目方案、内容前后不一致、前后逻辑错误、地点区域错误、内容缺失、不符合采购需求、 方案标题与实际内容不相符合等）扣 1 分， 直至本项分数扣完为止。 在满足上述设计方案的基础上： 投标人额外提供有利于使用单位且针对性强的节能、质量保证设计方案每有一项加1分，此项最多加1分。 投标人对本项目设计方案内容重、难点分析透彻、合理、完善，切合项目实际情况每有一项加1分，此项最多加1分。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投标人根据本项目的采购需求、技术标准及要求编制安装方案：对①总体要求、②安装技术方案、③项目验收及检测方案、④质量控制措施、⑤安全管理方案、⑥应急方案进行详细阐述，完全满足采购需求、内容完善、描述清晰的每提供一个方案得2分，此项最多得12分。所提供的方案中每有一项内容缺失的扣2分、每有一处缺陷的扣1分，扣完为止。（缺陷是指：存在不适用项目实际情况的情形、凭空编造、套用其他项目方案、内容前后不一致、前后逻辑错误、地点区域错误、内容缺失、不符合采购需求、方案标题与实际内容不相符合等）。 在满足上述安装方案的基础上： 投标人额外提供有利于使用单位且针对性强的安装方案、文明施工方案每有一项加1分，此项最多加1分。 投标人对本项目安装方案内容重、难点分析透彻、合理、完善，切合项目实际情况每有一项加1分，此项最多加1分。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根据本项目的采购需求、技术标准及要求编制售后服务方案：对①售后服务流程、②售后服务人员安排、③售后服务承诺、④售后物资保障进行详细阐述，完全满足采购需求、内容完善、描述清晰的每提供一个方案得2分，此项最多得8分。所提供的方案中每有一项内容缺失的扣2分、每有一处缺陷的扣1分，扣完为止。（缺陷是指：存在不适用项目实际情况的情形、凭空编造、套用其他项目方案、内容前后不一致、前后逻辑错误、地点区域错误、内容缺失、不符合采购需求、方案标题与实际内容不相符合等）。 在满足上述售后服务方案的基础上： 投标人额外提供有利于使用单位且针对性强的售后服务保障每有一项加1分，此项最多加1分。 投标人对本项目售后服务方案内容重、难点分析透彻、合理、完善，切合项目实际情况每有一项加1分，此项最多加1分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足招标文件要求且投标价格最低的投标报价为评标基准价，其价格分为满分（30分）。 其他投标人报价得分：（评标基准价/投标报价）×30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