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版本号：ZRS-2025-ZC-00620250521001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关中环线三原县城区段路灯更新项目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ZRS-2025-ZC-006</w:t>
      </w:r>
      <w:r>
        <w:br/>
      </w:r>
      <w:r>
        <w:br/>
      </w:r>
      <w:r>
        <w:br/>
      </w:r>
    </w:p>
    <w:p>
      <w:pPr>
        <w:pStyle w:val="null3"/>
        <w:jc w:val="center"/>
        <w:outlineLvl w:val="2"/>
      </w:pPr>
      <w:r>
        <w:rPr>
          <w:rFonts w:ascii="仿宋_GB2312" w:hAnsi="仿宋_GB2312" w:cs="仿宋_GB2312" w:eastAsia="仿宋_GB2312"/>
          <w:sz w:val="28"/>
          <w:b/>
        </w:rPr>
        <w:t>三原县住房和城乡建设局</w:t>
      </w:r>
    </w:p>
    <w:p>
      <w:pPr>
        <w:pStyle w:val="null3"/>
        <w:jc w:val="center"/>
        <w:outlineLvl w:val="2"/>
      </w:pPr>
      <w:r>
        <w:rPr>
          <w:rFonts w:ascii="仿宋_GB2312" w:hAnsi="仿宋_GB2312" w:cs="仿宋_GB2312" w:eastAsia="仿宋_GB2312"/>
          <w:sz w:val="28"/>
          <w:b/>
        </w:rPr>
        <w:t>陕西卓尔盛工程项目管理有限公司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陕西卓尔盛工程项目管理有限公司</w:t>
      </w:r>
      <w:r>
        <w:rPr>
          <w:rFonts w:ascii="仿宋_GB2312" w:hAnsi="仿宋_GB2312" w:cs="仿宋_GB2312" w:eastAsia="仿宋_GB2312"/>
        </w:rPr>
        <w:t>（以下简称“代理机构”）受</w:t>
      </w:r>
      <w:r>
        <w:rPr>
          <w:rFonts w:ascii="仿宋_GB2312" w:hAnsi="仿宋_GB2312" w:cs="仿宋_GB2312" w:eastAsia="仿宋_GB2312"/>
        </w:rPr>
        <w:t>三原县住房和城乡建设局</w:t>
      </w:r>
      <w:r>
        <w:rPr>
          <w:rFonts w:ascii="仿宋_GB2312" w:hAnsi="仿宋_GB2312" w:cs="仿宋_GB2312" w:eastAsia="仿宋_GB2312"/>
        </w:rPr>
        <w:t>委托，拟对</w:t>
      </w:r>
      <w:r>
        <w:rPr>
          <w:rFonts w:ascii="仿宋_GB2312" w:hAnsi="仿宋_GB2312" w:cs="仿宋_GB2312" w:eastAsia="仿宋_GB2312"/>
        </w:rPr>
        <w:t>关中环线三原县城区段路灯更新项目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ZRS-2025-ZC-006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关中环线三原县城区段路灯更新项目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了推动三原县整体发展，提升城市形象，推进三原县经济、旅游业、工业更加快速发展，完善区域城市路网，便利群众及企业出行，县交通运输局实施了关中环线照明工程，涉及我县城关街道办、西阳镇及大程镇，而关中环线城区段的路灯实施较早，已不再适应城市发展，根据县委、县政府安排，拟对关中环线三 原县城区段路灯进行更新。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采购包1（关中环线三原县城区段路灯更新项目）：属于专门面向中小企业采购。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1、具有独立承担民事责任的能力：具有独立承担民事责任能力的法人、其他组织或自然人，营业执照、组织机构代码 证、税务登记证（三证合一只提供营业执照，事业单位提供事业单位法人证书，自然人应提供身份证）合法有效；</w:t>
      </w:r>
    </w:p>
    <w:p>
      <w:pPr>
        <w:pStyle w:val="null3"/>
      </w:pPr>
      <w:r>
        <w:rPr>
          <w:rFonts w:ascii="仿宋_GB2312" w:hAnsi="仿宋_GB2312" w:cs="仿宋_GB2312" w:eastAsia="仿宋_GB2312"/>
        </w:rPr>
        <w:t>2、法定代表人或授权代表：法定代表人参加磋商时，提供本人身份证；授权代表参加磋商时，提供法定代表人授权书和 被授权人身份证；非法人单位参照执行；</w:t>
      </w:r>
    </w:p>
    <w:p>
      <w:pPr>
        <w:pStyle w:val="null3"/>
      </w:pPr>
      <w:r>
        <w:rPr>
          <w:rFonts w:ascii="仿宋_GB2312" w:hAnsi="仿宋_GB2312" w:cs="仿宋_GB2312" w:eastAsia="仿宋_GB2312"/>
        </w:rPr>
        <w:t>3、财务状况：提供2023年度或2024年度经审计的财务报告或开标前三个月内基本账户开户银行开具的资信证明及基本存款账户信息；</w:t>
      </w:r>
    </w:p>
    <w:p>
      <w:pPr>
        <w:pStyle w:val="null3"/>
      </w:pPr>
      <w:r>
        <w:rPr>
          <w:rFonts w:ascii="仿宋_GB2312" w:hAnsi="仿宋_GB2312" w:cs="仿宋_GB2312" w:eastAsia="仿宋_GB2312"/>
        </w:rPr>
        <w:t>4、税收缴纳证明：提供开标前近六个月内已缴纳任意一个月完税凭证或税务机关开具的完税证明（任意税种）；依法免 税的应提供相关文件证明；</w:t>
      </w:r>
    </w:p>
    <w:p>
      <w:pPr>
        <w:pStyle w:val="null3"/>
      </w:pPr>
      <w:r>
        <w:rPr>
          <w:rFonts w:ascii="仿宋_GB2312" w:hAnsi="仿宋_GB2312" w:cs="仿宋_GB2312" w:eastAsia="仿宋_GB2312"/>
        </w:rPr>
        <w:t>5、社会保障资金缴纳证明：提供开标前六个月内已缴存的任意一个月的社会保障资金缴存证明或社保机构开具的社会保 险参保缴费情况证明；依法不需要缴纳社会保障资金的应提供相关文件证明；</w:t>
      </w:r>
    </w:p>
    <w:p>
      <w:pPr>
        <w:pStyle w:val="null3"/>
      </w:pPr>
      <w:r>
        <w:rPr>
          <w:rFonts w:ascii="仿宋_GB2312" w:hAnsi="仿宋_GB2312" w:cs="仿宋_GB2312" w:eastAsia="仿宋_GB2312"/>
        </w:rPr>
        <w:t>6、控股、管理关系：单位负责人为同一人或者存在控股、管理关系的不同单位不得同时进行磋商；</w:t>
      </w:r>
    </w:p>
    <w:p>
      <w:pPr>
        <w:pStyle w:val="null3"/>
      </w:pPr>
      <w:r>
        <w:rPr>
          <w:rFonts w:ascii="仿宋_GB2312" w:hAnsi="仿宋_GB2312" w:cs="仿宋_GB2312" w:eastAsia="仿宋_GB2312"/>
        </w:rPr>
        <w:t>7、无重大违法记录的书面声明：参加政府采购活动前三年内，在经营活动中没有重大违法记录的书面声明；参加政府采购活动前三年内，在经营活动中没有重大违法记录的书面声明；</w:t>
      </w:r>
    </w:p>
    <w:p>
      <w:pPr>
        <w:pStyle w:val="null3"/>
      </w:pPr>
      <w:r>
        <w:rPr>
          <w:rFonts w:ascii="仿宋_GB2312" w:hAnsi="仿宋_GB2312" w:cs="仿宋_GB2312" w:eastAsia="仿宋_GB2312"/>
        </w:rPr>
        <w:t>8、信用查询：供应商不得为“信用中国”网站（www.creditchina.gov.cn）和中国政府采购网（www.ccgp.gov.cn）中被列入失信被执行人、重大税收违法案件当事人名单、政府采购严重违法失信行为记录名单的单位。（代理机构将现场进行 查询并留存）</w:t>
      </w:r>
    </w:p>
    <w:p>
      <w:pPr>
        <w:pStyle w:val="null3"/>
      </w:pPr>
      <w:r>
        <w:rPr>
          <w:rFonts w:ascii="仿宋_GB2312" w:hAnsi="仿宋_GB2312" w:cs="仿宋_GB2312" w:eastAsia="仿宋_GB2312"/>
        </w:rPr>
        <w:t>9、本项目不接受联合体磋商：本项目不接受联合体磋商。（书面声明）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三原县住房和城乡建设局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029-32282929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陕西卓尔盛工程项目管理有限公司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陕西省西安市经济技术开发区凤城七路明丰国际10楼1006室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夏工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17792396362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采购包1：914,150.00元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国家计委颁发的《招标代理服务收费管理暂行办法》（计价格[2002]1980号）和国家发展和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三原县住房和城乡建设局</w:t>
      </w:r>
      <w:r>
        <w:rPr>
          <w:rFonts w:ascii="仿宋_GB2312" w:hAnsi="仿宋_GB2312" w:cs="仿宋_GB2312" w:eastAsia="仿宋_GB2312"/>
        </w:rPr>
        <w:t>和</w:t>
      </w:r>
      <w:r>
        <w:rPr>
          <w:rFonts w:ascii="仿宋_GB2312" w:hAnsi="仿宋_GB2312" w:cs="仿宋_GB2312" w:eastAsia="仿宋_GB2312"/>
        </w:rPr>
        <w:t>陕西卓尔盛工程项目管理有限公司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陕西卓尔盛工程项目管理有限公司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陕西卓尔盛工程项目管理有限公司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符合国家及行业标准要求。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陕西卓尔盛工程项目管理有限公司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陕西卓尔盛工程项目管理有限公司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陕西卓尔盛工程项目管理有限公司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联系人：夏工</w:t>
      </w:r>
    </w:p>
    <w:p>
      <w:pPr>
        <w:pStyle w:val="null3"/>
      </w:pPr>
      <w:r>
        <w:rPr>
          <w:rFonts w:ascii="仿宋_GB2312" w:hAnsi="仿宋_GB2312" w:cs="仿宋_GB2312" w:eastAsia="仿宋_GB2312"/>
        </w:rPr>
        <w:t>联系电话：17792396362</w:t>
      </w:r>
    </w:p>
    <w:p>
      <w:pPr>
        <w:pStyle w:val="null3"/>
      </w:pPr>
      <w:r>
        <w:rPr>
          <w:rFonts w:ascii="仿宋_GB2312" w:hAnsi="仿宋_GB2312" w:cs="仿宋_GB2312" w:eastAsia="仿宋_GB2312"/>
        </w:rPr>
        <w:t>地址：陕西省西安市经济技术开发区凤城七路明丰国际10楼1006室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推动三原县整体发展，提升城市形象，推进三原县经济、旅游业、工业更加快速发展，完善区域城市路网，便利群众及企业出行，县交通运输局实施了关中环线照明工程，涉及我县城关街道办、西阳镇及大程镇，而关中环线城区段的路灯实施较早，已不再适应城市发展，根据县委、县政府安排，拟对关中环线三 原县城区段路灯进行更新。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914,150.00</w:t>
      </w:r>
    </w:p>
    <w:p>
      <w:pPr>
        <w:pStyle w:val="null3"/>
      </w:pPr>
      <w:r>
        <w:rPr>
          <w:rFonts w:ascii="仿宋_GB2312" w:hAnsi="仿宋_GB2312" w:cs="仿宋_GB2312" w:eastAsia="仿宋_GB2312"/>
        </w:rPr>
        <w:t>采购包最高限价（元）: 914,150.00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关中环线三原县城区段路灯更新项目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914,150.00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标的名称：关中环线三原县城区段路灯更新项目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7"/>
              <w:gridCol w:w="842"/>
              <w:gridCol w:w="511"/>
              <w:gridCol w:w="511"/>
              <w:gridCol w:w="511"/>
            </w:tblGrid>
            <w:tr>
              <w:tc>
                <w:tcPr>
                  <w:tcW w:type="dxa" w:w="1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8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项目内容</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单价（元）</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总价（元）</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拆除、拉运路灯</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143</w:t>
                  </w:r>
                  <w:r>
                    <w:rPr>
                      <w:rFonts w:ascii="仿宋_GB2312" w:hAnsi="仿宋_GB2312" w:cs="仿宋_GB2312" w:eastAsia="仿宋_GB2312"/>
                      <w:sz w:val="21"/>
                    </w:rPr>
                    <w:t>盏</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H12</w:t>
                  </w:r>
                  <w:r>
                    <w:rPr>
                      <w:rFonts w:ascii="仿宋_GB2312" w:hAnsi="仿宋_GB2312" w:cs="仿宋_GB2312" w:eastAsia="仿宋_GB2312"/>
                      <w:sz w:val="21"/>
                    </w:rPr>
                    <w:t>双臂路灯（含光源</w:t>
                  </w:r>
                  <w:r>
                    <w:rPr>
                      <w:rFonts w:ascii="仿宋_GB2312" w:hAnsi="仿宋_GB2312" w:cs="仿宋_GB2312" w:eastAsia="仿宋_GB2312"/>
                      <w:sz w:val="21"/>
                    </w:rPr>
                    <w:t>300w/100w</w:t>
                  </w:r>
                  <w:r>
                    <w:rPr>
                      <w:rFonts w:ascii="仿宋_GB2312" w:hAnsi="仿宋_GB2312" w:cs="仿宋_GB2312" w:eastAsia="仿宋_GB2312"/>
                      <w:sz w:val="21"/>
                    </w:rPr>
                    <w:t>及灯杆引线）</w:t>
                  </w:r>
                  <w:r>
                    <w:rPr>
                      <w:rFonts w:ascii="仿宋_GB2312" w:hAnsi="仿宋_GB2312" w:cs="仿宋_GB2312" w:eastAsia="仿宋_GB2312"/>
                      <w:sz w:val="21"/>
                      <w:b/>
                    </w:rPr>
                    <w:t>核心产品</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143</w:t>
                  </w:r>
                  <w:r>
                    <w:rPr>
                      <w:rFonts w:ascii="仿宋_GB2312" w:hAnsi="仿宋_GB2312" w:cs="仿宋_GB2312" w:eastAsia="仿宋_GB2312"/>
                      <w:sz w:val="21"/>
                    </w:rPr>
                    <w:t>盏</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H14</w:t>
                  </w:r>
                  <w:r>
                    <w:rPr>
                      <w:rFonts w:ascii="仿宋_GB2312" w:hAnsi="仿宋_GB2312" w:cs="仿宋_GB2312" w:eastAsia="仿宋_GB2312"/>
                      <w:sz w:val="21"/>
                    </w:rPr>
                    <w:t>中杆路灯（含光源</w:t>
                  </w:r>
                  <w:r>
                    <w:rPr>
                      <w:rFonts w:ascii="仿宋_GB2312" w:hAnsi="仿宋_GB2312" w:cs="仿宋_GB2312" w:eastAsia="仿宋_GB2312"/>
                      <w:sz w:val="21"/>
                    </w:rPr>
                    <w:t>3*300w</w:t>
                  </w:r>
                  <w:r>
                    <w:rPr>
                      <w:rFonts w:ascii="仿宋_GB2312" w:hAnsi="仿宋_GB2312" w:cs="仿宋_GB2312" w:eastAsia="仿宋_GB2312"/>
                      <w:sz w:val="21"/>
                    </w:rPr>
                    <w:t>）</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盏</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H14</w:t>
                  </w:r>
                  <w:r>
                    <w:rPr>
                      <w:rFonts w:ascii="仿宋_GB2312" w:hAnsi="仿宋_GB2312" w:cs="仿宋_GB2312" w:eastAsia="仿宋_GB2312"/>
                      <w:sz w:val="21"/>
                    </w:rPr>
                    <w:t>中杆路灯光源（</w:t>
                  </w:r>
                  <w:r>
                    <w:rPr>
                      <w:rFonts w:ascii="仿宋_GB2312" w:hAnsi="仿宋_GB2312" w:cs="仿宋_GB2312" w:eastAsia="仿宋_GB2312"/>
                      <w:sz w:val="21"/>
                    </w:rPr>
                    <w:t>LED</w:t>
                  </w:r>
                  <w:r>
                    <w:rPr>
                      <w:rFonts w:ascii="仿宋_GB2312" w:hAnsi="仿宋_GB2312" w:cs="仿宋_GB2312" w:eastAsia="仿宋_GB2312"/>
                      <w:sz w:val="21"/>
                    </w:rPr>
                    <w:t>投光灯</w:t>
                  </w:r>
                  <w:r>
                    <w:rPr>
                      <w:rFonts w:ascii="仿宋_GB2312" w:hAnsi="仿宋_GB2312" w:cs="仿宋_GB2312" w:eastAsia="仿宋_GB2312"/>
                      <w:sz w:val="21"/>
                    </w:rPr>
                    <w:t>300w</w:t>
                  </w:r>
                  <w:r>
                    <w:rPr>
                      <w:rFonts w:ascii="仿宋_GB2312" w:hAnsi="仿宋_GB2312" w:cs="仿宋_GB2312" w:eastAsia="仿宋_GB2312"/>
                      <w:sz w:val="21"/>
                    </w:rPr>
                    <w:t>、含安装）</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r>
                    <w:rPr>
                      <w:rFonts w:ascii="仿宋_GB2312" w:hAnsi="仿宋_GB2312" w:cs="仿宋_GB2312" w:eastAsia="仿宋_GB2312"/>
                      <w:sz w:val="21"/>
                    </w:rPr>
                    <w:t>套</w:t>
                  </w:r>
                  <w:r>
                    <w:rPr>
                      <w:rFonts w:ascii="仿宋_GB2312" w:hAnsi="仿宋_GB2312" w:cs="仿宋_GB2312" w:eastAsia="仿宋_GB2312"/>
                      <w:sz w:val="21"/>
                    </w:rPr>
                    <w:t xml:space="preserve">(12 </w:t>
                  </w:r>
                  <w:r>
                    <w:rPr>
                      <w:rFonts w:ascii="仿宋_GB2312" w:hAnsi="仿宋_GB2312" w:cs="仿宋_GB2312" w:eastAsia="仿宋_GB2312"/>
                      <w:sz w:val="21"/>
                    </w:rPr>
                    <w:t>盏</w:t>
                  </w:r>
                </w:p>
                <w:p>
                  <w:pPr>
                    <w:pStyle w:val="null3"/>
                    <w:jc w:val="center"/>
                  </w:pPr>
                  <w:r>
                    <w:rPr>
                      <w:rFonts w:ascii="仿宋_GB2312" w:hAnsi="仿宋_GB2312" w:cs="仿宋_GB2312" w:eastAsia="仿宋_GB2312"/>
                      <w:sz w:val="21"/>
                    </w:rPr>
                    <w:t>*3</w:t>
                  </w:r>
                  <w:r>
                    <w:rPr>
                      <w:rFonts w:ascii="仿宋_GB2312" w:hAnsi="仿宋_GB2312" w:cs="仿宋_GB2312" w:eastAsia="仿宋_GB2312"/>
                      <w:sz w:val="21"/>
                    </w:rPr>
                    <w:t>套</w:t>
                  </w:r>
                  <w:r>
                    <w:rPr>
                      <w:rFonts w:ascii="仿宋_GB2312" w:hAnsi="仿宋_GB2312" w:cs="仿宋_GB2312" w:eastAsia="仿宋_GB2312"/>
                      <w:sz w:val="21"/>
                    </w:rPr>
                    <w:t>/</w:t>
                  </w:r>
                  <w:r>
                    <w:rPr>
                      <w:rFonts w:ascii="仿宋_GB2312" w:hAnsi="仿宋_GB2312" w:cs="仿宋_GB2312" w:eastAsia="仿宋_GB2312"/>
                      <w:sz w:val="21"/>
                    </w:rPr>
                    <w:t>盏）</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路灯组装、安装及机械吊装（含接线）</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144</w:t>
                  </w:r>
                  <w:r>
                    <w:rPr>
                      <w:rFonts w:ascii="仿宋_GB2312" w:hAnsi="仿宋_GB2312" w:cs="仿宋_GB2312" w:eastAsia="仿宋_GB2312"/>
                      <w:sz w:val="21"/>
                    </w:rPr>
                    <w:t>盏</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路灯专用保护器</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156</w:t>
                  </w:r>
                  <w:r>
                    <w:rPr>
                      <w:rFonts w:ascii="仿宋_GB2312" w:hAnsi="仿宋_GB2312" w:cs="仿宋_GB2312" w:eastAsia="仿宋_GB2312"/>
                      <w:sz w:val="21"/>
                    </w:rPr>
                    <w:t>个</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CATI</w:t>
                  </w:r>
                  <w:r>
                    <w:rPr>
                      <w:rFonts w:ascii="仿宋_GB2312" w:hAnsi="仿宋_GB2312" w:cs="仿宋_GB2312" w:eastAsia="仿宋_GB2312"/>
                      <w:sz w:val="21"/>
                    </w:rPr>
                    <w:t>智能单灯控制器（含安装）</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156</w:t>
                  </w:r>
                  <w:r>
                    <w:rPr>
                      <w:rFonts w:ascii="仿宋_GB2312" w:hAnsi="仿宋_GB2312" w:cs="仿宋_GB2312" w:eastAsia="仿宋_GB2312"/>
                      <w:sz w:val="21"/>
                    </w:rPr>
                    <w:t>个</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砍挖灌木丛（密）</w:t>
                  </w:r>
                </w:p>
                <w:p>
                  <w:pPr>
                    <w:pStyle w:val="null3"/>
                    <w:jc w:val="both"/>
                  </w:pPr>
                  <w:r>
                    <w:rPr>
                      <w:rFonts w:ascii="仿宋_GB2312" w:hAnsi="仿宋_GB2312" w:cs="仿宋_GB2312" w:eastAsia="仿宋_GB2312"/>
                      <w:sz w:val="21"/>
                    </w:rPr>
                    <w:t>（砍挖灌木丛垃圾外运）</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240</w:t>
                  </w:r>
                  <w:r>
                    <w:rPr>
                      <w:rFonts w:ascii="仿宋_GB2312" w:hAnsi="仿宋_GB2312" w:cs="仿宋_GB2312" w:eastAsia="仿宋_GB2312"/>
                      <w:sz w:val="21"/>
                    </w:rPr>
                    <w:t>㎡</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清理草皮</w:t>
                  </w:r>
                  <w:r>
                    <w:rPr>
                      <w:rFonts w:ascii="仿宋_GB2312" w:hAnsi="仿宋_GB2312" w:cs="仿宋_GB2312" w:eastAsia="仿宋_GB2312"/>
                      <w:sz w:val="21"/>
                    </w:rPr>
                    <w:t>（</w:t>
                  </w:r>
                  <w:r>
                    <w:rPr>
                      <w:rFonts w:ascii="仿宋_GB2312" w:hAnsi="仿宋_GB2312" w:cs="仿宋_GB2312" w:eastAsia="仿宋_GB2312"/>
                      <w:sz w:val="21"/>
                    </w:rPr>
                    <w:t>垃圾外运</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平均厚度</w:t>
                  </w:r>
                  <w:r>
                    <w:rPr>
                      <w:rFonts w:ascii="仿宋_GB2312" w:hAnsi="仿宋_GB2312" w:cs="仿宋_GB2312" w:eastAsia="仿宋_GB2312"/>
                      <w:sz w:val="21"/>
                    </w:rPr>
                    <w:t>50mm</w:t>
                  </w:r>
                  <w:r>
                    <w:rPr>
                      <w:rFonts w:ascii="仿宋_GB2312" w:hAnsi="仿宋_GB2312" w:cs="仿宋_GB2312" w:eastAsia="仿宋_GB2312"/>
                      <w:sz w:val="21"/>
                    </w:rPr>
                    <w:t>厚</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r>
                    <w:rPr>
                      <w:rFonts w:ascii="仿宋_GB2312" w:hAnsi="仿宋_GB2312" w:cs="仿宋_GB2312" w:eastAsia="仿宋_GB2312"/>
                      <w:sz w:val="21"/>
                    </w:rPr>
                    <w:t>㎡</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栽植色带</w:t>
                  </w:r>
                  <w:r>
                    <w:rPr>
                      <w:rFonts w:ascii="仿宋_GB2312" w:hAnsi="仿宋_GB2312" w:cs="仿宋_GB2312" w:eastAsia="仿宋_GB2312"/>
                      <w:sz w:val="21"/>
                    </w:rPr>
                    <w:t>(</w:t>
                  </w:r>
                  <w:r>
                    <w:rPr>
                      <w:rFonts w:ascii="仿宋_GB2312" w:hAnsi="仿宋_GB2312" w:cs="仿宋_GB2312" w:eastAsia="仿宋_GB2312"/>
                      <w:sz w:val="21"/>
                    </w:rPr>
                    <w:t>海桐</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整理绿化用地栽植密度</w:t>
                  </w:r>
                  <w:r>
                    <w:rPr>
                      <w:rFonts w:ascii="仿宋_GB2312" w:hAnsi="仿宋_GB2312" w:cs="仿宋_GB2312" w:eastAsia="仿宋_GB2312"/>
                      <w:sz w:val="21"/>
                    </w:rPr>
                    <w:t>:36</w:t>
                  </w:r>
                  <w:r>
                    <w:rPr>
                      <w:rFonts w:ascii="仿宋_GB2312" w:hAnsi="仿宋_GB2312" w:cs="仿宋_GB2312" w:eastAsia="仿宋_GB2312"/>
                      <w:sz w:val="21"/>
                    </w:rPr>
                    <w:t>株</w:t>
                  </w:r>
                  <w:r>
                    <w:rPr>
                      <w:rFonts w:ascii="仿宋_GB2312" w:hAnsi="仿宋_GB2312" w:cs="仿宋_GB2312" w:eastAsia="仿宋_GB2312"/>
                      <w:sz w:val="21"/>
                    </w:rPr>
                    <w:t>/</w:t>
                  </w:r>
                  <w:r>
                    <w:rPr>
                      <w:rFonts w:ascii="仿宋_GB2312" w:hAnsi="仿宋_GB2312" w:cs="仿宋_GB2312" w:eastAsia="仿宋_GB2312"/>
                      <w:sz w:val="21"/>
                    </w:rPr>
                    <w:t>平方米</w:t>
                  </w:r>
                  <w:r>
                    <w:rPr>
                      <w:rFonts w:ascii="仿宋_GB2312" w:hAnsi="仿宋_GB2312" w:cs="仿宋_GB2312" w:eastAsia="仿宋_GB2312"/>
                      <w:sz w:val="21"/>
                    </w:rPr>
                    <w:t>，</w:t>
                  </w:r>
                  <w:r>
                    <w:rPr>
                      <w:rFonts w:ascii="仿宋_GB2312" w:hAnsi="仿宋_GB2312" w:cs="仿宋_GB2312" w:eastAsia="仿宋_GB2312"/>
                      <w:sz w:val="21"/>
                    </w:rPr>
                    <w:t>养护期限</w:t>
                  </w: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年</w:t>
                  </w:r>
                </w:p>
                <w:p>
                  <w:pPr>
                    <w:pStyle w:val="null3"/>
                    <w:jc w:val="both"/>
                  </w:pPr>
                  <w:r>
                    <w:rPr>
                      <w:rFonts w:ascii="仿宋_GB2312" w:hAnsi="仿宋_GB2312" w:cs="仿宋_GB2312" w:eastAsia="仿宋_GB2312"/>
                      <w:sz w:val="21"/>
                    </w:rPr>
                    <w:t>P20-25cm</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r>
                    <w:rPr>
                      <w:rFonts w:ascii="仿宋_GB2312" w:hAnsi="仿宋_GB2312" w:cs="仿宋_GB2312" w:eastAsia="仿宋_GB2312"/>
                      <w:sz w:val="21"/>
                    </w:rPr>
                    <w:t>㎡</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栽植色带</w:t>
                  </w:r>
                  <w:r>
                    <w:rPr>
                      <w:rFonts w:ascii="仿宋_GB2312" w:hAnsi="仿宋_GB2312" w:cs="仿宋_GB2312" w:eastAsia="仿宋_GB2312"/>
                      <w:sz w:val="21"/>
                    </w:rPr>
                    <w:t>(</w:t>
                  </w:r>
                  <w:r>
                    <w:rPr>
                      <w:rFonts w:ascii="仿宋_GB2312" w:hAnsi="仿宋_GB2312" w:cs="仿宋_GB2312" w:eastAsia="仿宋_GB2312"/>
                      <w:sz w:val="21"/>
                    </w:rPr>
                    <w:t>大叶黄杨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整理绿化用地栽植密度</w:t>
                  </w:r>
                  <w:r>
                    <w:rPr>
                      <w:rFonts w:ascii="仿宋_GB2312" w:hAnsi="仿宋_GB2312" w:cs="仿宋_GB2312" w:eastAsia="仿宋_GB2312"/>
                      <w:sz w:val="21"/>
                    </w:rPr>
                    <w:t>:36</w:t>
                  </w:r>
                  <w:r>
                    <w:rPr>
                      <w:rFonts w:ascii="仿宋_GB2312" w:hAnsi="仿宋_GB2312" w:cs="仿宋_GB2312" w:eastAsia="仿宋_GB2312"/>
                      <w:sz w:val="21"/>
                    </w:rPr>
                    <w:t>株</w:t>
                  </w:r>
                  <w:r>
                    <w:rPr>
                      <w:rFonts w:ascii="仿宋_GB2312" w:hAnsi="仿宋_GB2312" w:cs="仿宋_GB2312" w:eastAsia="仿宋_GB2312"/>
                      <w:sz w:val="21"/>
                    </w:rPr>
                    <w:t>/</w:t>
                  </w:r>
                  <w:r>
                    <w:rPr>
                      <w:rFonts w:ascii="仿宋_GB2312" w:hAnsi="仿宋_GB2312" w:cs="仿宋_GB2312" w:eastAsia="仿宋_GB2312"/>
                      <w:sz w:val="21"/>
                    </w:rPr>
                    <w:t>平方米养护期限</w:t>
                  </w:r>
                  <w:r>
                    <w:rPr>
                      <w:rFonts w:ascii="仿宋_GB2312" w:hAnsi="仿宋_GB2312" w:cs="仿宋_GB2312" w:eastAsia="仿宋_GB2312"/>
                      <w:sz w:val="21"/>
                    </w:rPr>
                    <w:t>:</w:t>
                  </w:r>
                  <w:r>
                    <w:rPr>
                      <w:rFonts w:ascii="仿宋_GB2312" w:hAnsi="仿宋_GB2312" w:cs="仿宋_GB2312" w:eastAsia="仿宋_GB2312"/>
                      <w:sz w:val="21"/>
                    </w:rPr>
                    <w:t>一年</w:t>
                  </w:r>
                </w:p>
                <w:p>
                  <w:pPr>
                    <w:pStyle w:val="null3"/>
                    <w:jc w:val="both"/>
                  </w:pPr>
                  <w:r>
                    <w:rPr>
                      <w:rFonts w:ascii="仿宋_GB2312" w:hAnsi="仿宋_GB2312" w:cs="仿宋_GB2312" w:eastAsia="仿宋_GB2312"/>
                      <w:sz w:val="21"/>
                    </w:rPr>
                    <w:t>P20-25cm</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r>
                    <w:rPr>
                      <w:rFonts w:ascii="仿宋_GB2312" w:hAnsi="仿宋_GB2312" w:cs="仿宋_GB2312" w:eastAsia="仿宋_GB2312"/>
                      <w:sz w:val="21"/>
                    </w:rPr>
                    <w:t>㎡</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铺种草坪</w:t>
                  </w:r>
                  <w:r>
                    <w:rPr>
                      <w:rFonts w:ascii="仿宋_GB2312" w:hAnsi="仿宋_GB2312" w:cs="仿宋_GB2312" w:eastAsia="仿宋_GB2312"/>
                      <w:sz w:val="21"/>
                    </w:rPr>
                    <w:t>(</w:t>
                  </w:r>
                  <w:r>
                    <w:rPr>
                      <w:rFonts w:ascii="仿宋_GB2312" w:hAnsi="仿宋_GB2312" w:cs="仿宋_GB2312" w:eastAsia="仿宋_GB2312"/>
                      <w:sz w:val="21"/>
                    </w:rPr>
                    <w:t>混播草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整理绿化用地养护期限</w:t>
                  </w:r>
                  <w:r>
                    <w:rPr>
                      <w:rFonts w:ascii="仿宋_GB2312" w:hAnsi="仿宋_GB2312" w:cs="仿宋_GB2312" w:eastAsia="仿宋_GB2312"/>
                      <w:sz w:val="21"/>
                    </w:rPr>
                    <w:t>:</w:t>
                  </w:r>
                  <w:r>
                    <w:rPr>
                      <w:rFonts w:ascii="仿宋_GB2312" w:hAnsi="仿宋_GB2312" w:cs="仿宋_GB2312" w:eastAsia="仿宋_GB2312"/>
                      <w:sz w:val="21"/>
                    </w:rPr>
                    <w:t>一年</w:t>
                  </w:r>
                </w:p>
                <w:p>
                  <w:pPr>
                    <w:pStyle w:val="null3"/>
                    <w:jc w:val="both"/>
                  </w:pPr>
                  <w:r>
                    <w:rPr>
                      <w:rFonts w:ascii="仿宋_GB2312" w:hAnsi="仿宋_GB2312" w:cs="仿宋_GB2312" w:eastAsia="仿宋_GB2312"/>
                      <w:sz w:val="21"/>
                    </w:rPr>
                    <w:t>高羊毛</w:t>
                  </w:r>
                  <w:r>
                    <w:rPr>
                      <w:rFonts w:ascii="仿宋_GB2312" w:hAnsi="仿宋_GB2312" w:cs="仿宋_GB2312" w:eastAsia="仿宋_GB2312"/>
                      <w:sz w:val="21"/>
                    </w:rPr>
                    <w:t>:</w:t>
                  </w:r>
                  <w:r>
                    <w:rPr>
                      <w:rFonts w:ascii="仿宋_GB2312" w:hAnsi="仿宋_GB2312" w:cs="仿宋_GB2312" w:eastAsia="仿宋_GB2312"/>
                      <w:sz w:val="21"/>
                    </w:rPr>
                    <w:t>黑麦草</w:t>
                  </w:r>
                  <w:r>
                    <w:rPr>
                      <w:rFonts w:ascii="仿宋_GB2312" w:hAnsi="仿宋_GB2312" w:cs="仿宋_GB2312" w:eastAsia="仿宋_GB2312"/>
                      <w:sz w:val="21"/>
                    </w:rPr>
                    <w:t>:</w:t>
                  </w:r>
                  <w:r>
                    <w:rPr>
                      <w:rFonts w:ascii="仿宋_GB2312" w:hAnsi="仿宋_GB2312" w:cs="仿宋_GB2312" w:eastAsia="仿宋_GB2312"/>
                      <w:sz w:val="21"/>
                    </w:rPr>
                    <w:t>早熟禾</w:t>
                  </w:r>
                  <w:r>
                    <w:rPr>
                      <w:rFonts w:ascii="仿宋_GB2312" w:hAnsi="仿宋_GB2312" w:cs="仿宋_GB2312" w:eastAsia="仿宋_GB2312"/>
                      <w:sz w:val="21"/>
                    </w:rPr>
                    <w:t>=6:3:1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r>
                    <w:rPr>
                      <w:rFonts w:ascii="仿宋_GB2312" w:hAnsi="仿宋_GB2312" w:cs="仿宋_GB2312" w:eastAsia="仿宋_GB2312"/>
                      <w:sz w:val="21"/>
                    </w:rPr>
                    <w:t>㎡</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人</w:t>
                  </w:r>
                  <w:r>
                    <w:rPr>
                      <w:rFonts w:ascii="仿宋_GB2312" w:hAnsi="仿宋_GB2312" w:cs="仿宋_GB2312" w:eastAsia="仿宋_GB2312"/>
                      <w:sz w:val="21"/>
                    </w:rPr>
                    <w:t>行道拆除</w:t>
                  </w:r>
                </w:p>
                <w:p>
                  <w:pPr>
                    <w:pStyle w:val="null3"/>
                    <w:jc w:val="both"/>
                  </w:pPr>
                  <w:r>
                    <w:rPr>
                      <w:rFonts w:ascii="仿宋_GB2312" w:hAnsi="仿宋_GB2312" w:cs="仿宋_GB2312" w:eastAsia="仿宋_GB2312"/>
                      <w:sz w:val="21"/>
                    </w:rPr>
                    <w:t>拆除</w:t>
                  </w:r>
                  <w:r>
                    <w:rPr>
                      <w:rFonts w:ascii="仿宋_GB2312" w:hAnsi="仿宋_GB2312" w:cs="仿宋_GB2312" w:eastAsia="仿宋_GB2312"/>
                      <w:sz w:val="21"/>
                    </w:rPr>
                    <w:t>5cm</w:t>
                  </w:r>
                  <w:r>
                    <w:rPr>
                      <w:rFonts w:ascii="仿宋_GB2312" w:hAnsi="仿宋_GB2312" w:cs="仿宋_GB2312" w:eastAsia="仿宋_GB2312"/>
                      <w:sz w:val="21"/>
                    </w:rPr>
                    <w:t>厚透水砖面层拆除</w:t>
                  </w:r>
                  <w:r>
                    <w:rPr>
                      <w:rFonts w:ascii="仿宋_GB2312" w:hAnsi="仿宋_GB2312" w:cs="仿宋_GB2312" w:eastAsia="仿宋_GB2312"/>
                      <w:sz w:val="21"/>
                    </w:rPr>
                    <w:t>10cm</w:t>
                  </w:r>
                  <w:r>
                    <w:rPr>
                      <w:rFonts w:ascii="仿宋_GB2312" w:hAnsi="仿宋_GB2312" w:cs="仿宋_GB2312" w:eastAsia="仿宋_GB2312"/>
                      <w:sz w:val="21"/>
                    </w:rPr>
                    <w:t>厚混凝土垫层拆除</w:t>
                  </w:r>
                  <w:r>
                    <w:rPr>
                      <w:rFonts w:ascii="仿宋_GB2312" w:hAnsi="仿宋_GB2312" w:cs="仿宋_GB2312" w:eastAsia="仿宋_GB2312"/>
                      <w:sz w:val="21"/>
                    </w:rPr>
                    <w:t>15cm</w:t>
                  </w:r>
                  <w:r>
                    <w:rPr>
                      <w:rFonts w:ascii="仿宋_GB2312" w:hAnsi="仿宋_GB2312" w:cs="仿宋_GB2312" w:eastAsia="仿宋_GB2312"/>
                      <w:sz w:val="21"/>
                    </w:rPr>
                    <w:t>厚灰土层</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144</w:t>
                  </w:r>
                  <w:r>
                    <w:rPr>
                      <w:rFonts w:ascii="仿宋_GB2312" w:hAnsi="仿宋_GB2312" w:cs="仿宋_GB2312" w:eastAsia="仿宋_GB2312"/>
                      <w:sz w:val="21"/>
                    </w:rPr>
                    <w:t>㎡</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铺设人行道</w:t>
                  </w:r>
                </w:p>
                <w:p>
                  <w:pPr>
                    <w:pStyle w:val="null3"/>
                    <w:jc w:val="both"/>
                  </w:pPr>
                  <w:r>
                    <w:rPr>
                      <w:rFonts w:ascii="仿宋_GB2312" w:hAnsi="仿宋_GB2312" w:cs="仿宋_GB2312" w:eastAsia="仿宋_GB2312"/>
                      <w:sz w:val="21"/>
                    </w:rPr>
                    <w:t>5cm</w:t>
                  </w:r>
                  <w:r>
                    <w:rPr>
                      <w:rFonts w:ascii="仿宋_GB2312" w:hAnsi="仿宋_GB2312" w:cs="仿宋_GB2312" w:eastAsia="仿宋_GB2312"/>
                      <w:sz w:val="21"/>
                    </w:rPr>
                    <w:t>厚透水砖面层</w:t>
                  </w:r>
                </w:p>
                <w:p>
                  <w:pPr>
                    <w:pStyle w:val="null3"/>
                    <w:jc w:val="both"/>
                  </w:pPr>
                  <w:r>
                    <w:rPr>
                      <w:rFonts w:ascii="仿宋_GB2312" w:hAnsi="仿宋_GB2312" w:cs="仿宋_GB2312" w:eastAsia="仿宋_GB2312"/>
                      <w:sz w:val="21"/>
                    </w:rPr>
                    <w:t>10cm</w:t>
                  </w:r>
                  <w:r>
                    <w:rPr>
                      <w:rFonts w:ascii="仿宋_GB2312" w:hAnsi="仿宋_GB2312" w:cs="仿宋_GB2312" w:eastAsia="仿宋_GB2312"/>
                      <w:sz w:val="21"/>
                    </w:rPr>
                    <w:t>厚混凝土垫层</w:t>
                  </w:r>
                </w:p>
                <w:p>
                  <w:pPr>
                    <w:pStyle w:val="null3"/>
                    <w:jc w:val="both"/>
                  </w:pPr>
                  <w:r>
                    <w:rPr>
                      <w:rFonts w:ascii="仿宋_GB2312" w:hAnsi="仿宋_GB2312" w:cs="仿宋_GB2312" w:eastAsia="仿宋_GB2312"/>
                      <w:sz w:val="21"/>
                    </w:rPr>
                    <w:t>15cm</w:t>
                  </w:r>
                  <w:r>
                    <w:rPr>
                      <w:rFonts w:ascii="仿宋_GB2312" w:hAnsi="仿宋_GB2312" w:cs="仿宋_GB2312" w:eastAsia="仿宋_GB2312"/>
                      <w:sz w:val="21"/>
                    </w:rPr>
                    <w:t>厚灰土层</w:t>
                  </w:r>
                </w:p>
                <w:p>
                  <w:pPr>
                    <w:pStyle w:val="null3"/>
                    <w:jc w:val="both"/>
                  </w:pPr>
                  <w:r>
                    <w:rPr>
                      <w:rFonts w:ascii="仿宋_GB2312" w:hAnsi="仿宋_GB2312" w:cs="仿宋_GB2312" w:eastAsia="仿宋_GB2312"/>
                      <w:sz w:val="21"/>
                    </w:rPr>
                    <w:t>200</w:t>
                  </w:r>
                  <w:r>
                    <w:rPr>
                      <w:rFonts w:ascii="仿宋_GB2312" w:hAnsi="仿宋_GB2312" w:cs="仿宋_GB2312" w:eastAsia="仿宋_GB2312"/>
                      <w:sz w:val="21"/>
                    </w:rPr>
                    <w:t>本</w:t>
                  </w:r>
                  <w:r>
                    <w:rPr>
                      <w:rFonts w:ascii="仿宋_GB2312" w:hAnsi="仿宋_GB2312" w:cs="仿宋_GB2312" w:eastAsia="仿宋_GB2312"/>
                      <w:sz w:val="21"/>
                    </w:rPr>
                    <w:t>100</w:t>
                  </w:r>
                  <w:r>
                    <w:rPr>
                      <w:rFonts w:ascii="仿宋_GB2312" w:hAnsi="仿宋_GB2312" w:cs="仿宋_GB2312" w:eastAsia="仿宋_GB2312"/>
                      <w:sz w:val="21"/>
                    </w:rPr>
                    <w:t>米</w:t>
                  </w:r>
                  <w:r>
                    <w:rPr>
                      <w:rFonts w:ascii="仿宋_GB2312" w:hAnsi="仿宋_GB2312" w:cs="仿宋_GB2312" w:eastAsia="仿宋_GB2312"/>
                      <w:sz w:val="21"/>
                    </w:rPr>
                    <w:t>50IAD</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144</w:t>
                  </w:r>
                  <w:r>
                    <w:rPr>
                      <w:rFonts w:ascii="仿宋_GB2312" w:hAnsi="仿宋_GB2312" w:cs="仿宋_GB2312" w:eastAsia="仿宋_GB2312"/>
                      <w:sz w:val="21"/>
                    </w:rPr>
                    <w:t>㎡</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敷设电力电缆</w:t>
                  </w:r>
                </w:p>
                <w:p>
                  <w:pPr>
                    <w:pStyle w:val="null3"/>
                    <w:jc w:val="both"/>
                  </w:pPr>
                  <w:r>
                    <w:rPr>
                      <w:rFonts w:ascii="仿宋_GB2312" w:hAnsi="仿宋_GB2312" w:cs="仿宋_GB2312" w:eastAsia="仿宋_GB2312"/>
                      <w:sz w:val="21"/>
                    </w:rPr>
                    <w:t>挖沟槽土方敷设电缆土方回填</w:t>
                  </w:r>
                </w:p>
                <w:p>
                  <w:pPr>
                    <w:pStyle w:val="null3"/>
                    <w:jc w:val="both"/>
                  </w:pPr>
                  <w:r>
                    <w:rPr>
                      <w:rFonts w:ascii="仿宋_GB2312" w:hAnsi="仿宋_GB2312" w:cs="仿宋_GB2312" w:eastAsia="仿宋_GB2312"/>
                      <w:sz w:val="21"/>
                    </w:rPr>
                    <w:t>YJV22-4*35+1*16</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400m</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H12双臂路灯为核心产品，核心产品要求提供不限于加盖生产厂家公章的原厂正品授权委托书、原厂售后服务或销售协议或代理协议或官网截图、产品彩页、功能截图等相关证明资料，且多家供应商提供的核心产品品牌相同的，按财政部令第87 号第三十一条规定处理。 使用综合评分法的采购项目，提供相同品牌产品且通过资格审查、符合性审查的不 同供应商参加同一合同项下投标的，按一家供应商计算，评审后得分最高的同品牌供应 商获得成交供应商推荐资格；评审得分相同的，由采购人及磋商小组按照磋商报价最低 的方式确定一个供应商获得成交候选人推荐资格，其他同品牌供应商不作为成交候选人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合同签订生效后60个日历日内供货并安装调试完毕,达到交付使用标准。</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完成并通过验收后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通过决算后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按磋商文件、磋商响应文件及澄清函、项目检查情况等综合指标进行验收。各项指标均应符合验收标准及要求。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质保期：所有产品质保一年，凡国家有规定的，优于磋商文件要求的，按国家规定执行。 （1）供应商提供的产品及材料 必须保证质量可靠，进货渠道正常，配置合理齐全，应全面满足磋商文件的要求，磋商文件未明确要求的内容，供应商须按采 购产品主流标准配置或以采购人的要求为准。所供产品工艺质量应严格按国家最新发布的规范标准执行，如发生质量问题由供 应商承担全部责任。 （2）供应商应保证所有产品的完好无损包括配套包装，如有缺漏、损坏，由供应商负责调换、补齐或赔 偿。 （3）采购人使用产品过程中因产品质量、产品缺陷及安装质量等造成人身伤亡、财产损失的，由供应商负责解决并承担 全部责任。 （4）质保期内每月至少一次免费维护，回访。 （5）对于存在质量问题或者短少的产品，供应商应在接到采购人的通知2个日历日内负责修复，调换、重新制作或补齐。 （6）在最终验收后的质量保证期内，供应商应对设计、工艺或材料等的缺陷而产生的故障负责（负责解决并承担全部费用）。质保期满后如出现此类问题亦应负责。 （7）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磋商文件要求对待。 （8）对于未按约定提供质保服务的供应商或违约的供应商，采购人有权委托第三方进行维修，所产生的费用由供应商承担， 采购人有权从应付款项中直接扣除，不足部分应由供应商支付。</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合同执行中发生争议的，当事人双方应协商解决。协商达不成一致时，可向当地行政仲裁机关申请仲裁或者向人民法院提 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磋商方案.docx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提供2023年度或2024年度经审计的财务报告或开标前三个月内基本账户开户银行开具的资信证明及基本存款账户信息。</w:t>
            </w:r>
          </w:p>
        </w:tc>
        <w:tc>
          <w:tcPr>
            <w:tcW w:type="dxa" w:w="1661"/>
          </w:tcPr>
          <w:p>
            <w:pPr>
              <w:pStyle w:val="null3"/>
            </w:pPr>
            <w:r>
              <w:rPr>
                <w:rFonts w:ascii="仿宋_GB2312" w:hAnsi="仿宋_GB2312" w:cs="仿宋_GB2312" w:eastAsia="仿宋_GB2312"/>
              </w:rPr>
              <w:t>响应函 其他.docx 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（1）《政府采购促进中小企业发展管理办法》（财库〔2020〕46号）； （2）《财政部司法部关于政府采购支持监狱企业发展有关问题的通知》（财库〔2014〕68号）； （3）《国务院办公厅关于建立政府强制采购节能产品制度的通知》（国办发〔2007〕51号）； （4）《财政部 环保总局关于环境标志产品政府采购实施的意见》（财库〔2006〕90号）； （5）《财政部国家发展改革委关于印发〈节能产品政府采购实施意见〉的通知》（财库〔2004〕185号）； （6）《财政部民政部中国残疾人联合会关于促进残疾人就业政府采购政策的通知》（财库〔2017〕141号）； （7）《财政部发展改革委生态环境部市场监管总局关于调整优化节能产品、环境标志产品政府采购执行机制的通知》（财库〔2019〕9号）； （8）《关于印发环境标志产品政府采购品目清单的通知》（财库〔2019〕18号）； （9）《关于印发节能产品政府采购品目清单的通知》（财库〔2019〕19号）； （10）《财政部农业农村部国家乡村振兴局关于运用政府采购政策支持乡村产业振兴的通知》财库〔2021〕19号； （11）《陕西省财政厅关于印发陕西省中小企业政府采购信用融资办法》（陕财办采〔2018〕23号）； （12）《陕西省财政厅关于加快推进我省中小企业政府采购信用融资工作的通知》（陕财办采〔2020〕15号）； （13）《陕西省财政厅关于进一步优化政府采购营商环境有关事项的通知》（陕财办采〔2023〕4号）； (14)其他需要落实的政府采购政策。</w:t>
            </w:r>
          </w:p>
        </w:tc>
        <w:tc>
          <w:tcPr>
            <w:tcW w:type="dxa" w:w="1661"/>
          </w:tcPr>
          <w:p>
            <w:pPr>
              <w:pStyle w:val="null3"/>
            </w:pPr>
            <w:r>
              <w:rPr>
                <w:rFonts w:ascii="仿宋_GB2312" w:hAnsi="仿宋_GB2312" w:cs="仿宋_GB2312" w:eastAsia="仿宋_GB2312"/>
              </w:rPr>
              <w:t>中小企业声明函 残疾人福利性单位声明函 响应函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 证、税务登记证（三证合一只提供营业执照，事业单位提供事业单位法人证书，自然人应提供身份证）合法有效；</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法定代表人或授权代表</w:t>
            </w:r>
          </w:p>
        </w:tc>
        <w:tc>
          <w:tcPr>
            <w:tcW w:type="dxa" w:w="3322"/>
          </w:tcPr>
          <w:p>
            <w:pPr>
              <w:pStyle w:val="null3"/>
            </w:pPr>
            <w:r>
              <w:rPr>
                <w:rFonts w:ascii="仿宋_GB2312" w:hAnsi="仿宋_GB2312" w:cs="仿宋_GB2312" w:eastAsia="仿宋_GB2312"/>
              </w:rPr>
              <w:t>法定代表人参加磋商时，提供本人身份证；授权代表参加磋商时，提供法定代表人授权书和 被授权人身份证；非法人单位参照执行；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提供2023年度或2024年度经审计的财务报告或开标前三个月内基本账户开户银行开具的资信证明及基本存款账户信息；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提供开标前近六个月内已缴纳任意一个月完税凭证或税务机关开具的完税证明（任意税种）；依法免 税的应提供相关文件证明；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提供开标前六个月内已缴存的任意一个月的社会保障资金缴存证明或社保机构开具的社会保 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单位负责人为同一人或者存在控股、管理关系的不同单位不得同时进行磋商；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和中国政府采购网（www.ccgp.gov.cn）中被列入失信被执行人、重大税收违法案件当事人名单、政府采购严重违法失信行为记录名单的单位。（代理机构将现场进行 查询并留存）</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本项目不接受联合体磋商。（书面声明）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按照要求报价且报价未超出采购预算，报价唯一</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符合磋商文件的其他实质性要求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产品技术参数表 其他.docx 磋商方案.docx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环保节能评审</w:t>
            </w:r>
          </w:p>
        </w:tc>
        <w:tc>
          <w:tcPr>
            <w:tcW w:type="dxa" w:w="2492"/>
          </w:tcPr>
          <w:p>
            <w:pPr>
              <w:pStyle w:val="null3"/>
            </w:pPr>
            <w:r>
              <w:rPr>
                <w:rFonts w:ascii="仿宋_GB2312" w:hAnsi="仿宋_GB2312" w:cs="仿宋_GB2312" w:eastAsia="仿宋_GB2312"/>
              </w:rPr>
              <w:t>投标产品为节能、环保、环境标志产品清单中的产品，符合磋商文件要求的，可优先采购。按其响应程度，每有一个计1分，本项最高计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投标产品技术指标评审</w:t>
            </w:r>
          </w:p>
        </w:tc>
        <w:tc>
          <w:tcPr>
            <w:tcW w:type="dxa" w:w="2492"/>
          </w:tcPr>
          <w:p>
            <w:pPr>
              <w:pStyle w:val="null3"/>
            </w:pPr>
            <w:r>
              <w:rPr>
                <w:rFonts w:ascii="仿宋_GB2312" w:hAnsi="仿宋_GB2312" w:cs="仿宋_GB2312" w:eastAsia="仿宋_GB2312"/>
              </w:rPr>
              <w:t>1、投标产品的规格型号、技术指标、配置等描述完整、详细。设备的彩页、相应的功能证明材料（包括但不限于检测报告、官网和功能截图等功能证明材料）等进行评分。具体如下： （1）投标设备（产品）的参数等完全满足或优于采购要求、配置描述详细完整，具有有效证明文件，且证明资料齐全完整、详尽，根据实际响应情况得（22-30〕分； （2）投标设备（产品）参数个别存在负偏离，但不影响整体使用、有效证明文件比较齐全，根据实际响应情况得(15-22〕分； （3）投标设备（产品）参数不完整、简略，有效证明文件不齐全或未提供，根据实际响应情况得〔0-15〕分。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投标产品的可靠性评 审</w:t>
            </w:r>
          </w:p>
        </w:tc>
        <w:tc>
          <w:tcPr>
            <w:tcW w:type="dxa" w:w="2492"/>
          </w:tcPr>
          <w:p>
            <w:pPr>
              <w:pStyle w:val="null3"/>
            </w:pPr>
            <w:r>
              <w:rPr>
                <w:rFonts w:ascii="仿宋_GB2312" w:hAnsi="仿宋_GB2312" w:cs="仿宋_GB2312" w:eastAsia="仿宋_GB2312"/>
              </w:rPr>
              <w:t>设备供货渠道正常、货物来源质量有保证，检验手续完善、合法有效，无产权纠纷（需提供的证明文件包括但不限于原厂正品授权委托书、原厂售后服务、销售协议或代理协议、官网截图、检测报告、产品合格证明等），提供证明文件齐全、详细，≥5项得5分，提供2-4项得3分，不提供或提供不足2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根据提供具体详细可行的供货方案（人员安排、运输、安装）等综合评定。 方案完整详细且科学合理、 切实可行，供货计划及调配完全符合项目需求得（12-17〕分；方案一般，基本可行，能满足项目需求 ，得（7-12〕分；方案简略不详细、存有漏缺项，得〔0-7〕分。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或者生产厂家2022年1月至今同类项目业绩，投标文件中附有其合同文件为依据（提供合同协议书完整复印件，签订时间为准），每提供一份业绩得2分，本项最高得6分。不提供或不按要求提供，本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根据各供应商的售后服务承诺，保修计划（包括具体的售后服务内容、响应方式、响应时间、问题管理、返修管理、技术培训等）进行评审。 售后服务措施和承诺完整具体、详细，符合或优于项目实际需求，得(7-10]分； 售后服务措施和承诺内容一般，基本满足项目实际需求，得(4-7]分； 售后服务措施和承诺方案简略不详细得(0-4]分，未提供不得分。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满足磋商文件要求且磋商报价最低的（最终报价）为评标基准价，其价格分为满分。其他供应商的价格分统一按照下列公式计算：报价得分=（评标基准价/磋商报价）×30。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