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版本号：ZTHZB-2025-11220250627001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三原县2025年度和美乡村建设项目初步设计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ZTHZB-2025-112</w:t>
      </w:r>
      <w:r>
        <w:br/>
      </w:r>
      <w:r>
        <w:br/>
      </w:r>
      <w:r>
        <w:br/>
      </w:r>
    </w:p>
    <w:p>
      <w:pPr>
        <w:pStyle w:val="null3"/>
        <w:jc w:val="center"/>
        <w:outlineLvl w:val="2"/>
      </w:pPr>
      <w:r>
        <w:rPr>
          <w:rFonts w:ascii="仿宋_GB2312" w:hAnsi="仿宋_GB2312" w:cs="仿宋_GB2312" w:eastAsia="仿宋_GB2312"/>
          <w:sz w:val="28"/>
          <w:b/>
        </w:rPr>
        <w:t>三原县农业农村局</w:t>
      </w:r>
    </w:p>
    <w:p>
      <w:pPr>
        <w:pStyle w:val="null3"/>
        <w:jc w:val="center"/>
        <w:outlineLvl w:val="2"/>
      </w:pPr>
      <w:r>
        <w:rPr>
          <w:rFonts w:ascii="仿宋_GB2312" w:hAnsi="仿宋_GB2312" w:cs="仿宋_GB2312" w:eastAsia="仿宋_GB2312"/>
          <w:sz w:val="28"/>
          <w:b/>
        </w:rPr>
        <w:t>陕西中天禾招标项目管理有限公司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陕西中天禾招标项目管理有限公司</w:t>
      </w:r>
      <w:r>
        <w:rPr>
          <w:rFonts w:ascii="仿宋_GB2312" w:hAnsi="仿宋_GB2312" w:cs="仿宋_GB2312" w:eastAsia="仿宋_GB2312"/>
        </w:rPr>
        <w:t>（以下简称“代理机构”）受</w:t>
      </w:r>
      <w:r>
        <w:rPr>
          <w:rFonts w:ascii="仿宋_GB2312" w:hAnsi="仿宋_GB2312" w:cs="仿宋_GB2312" w:eastAsia="仿宋_GB2312"/>
        </w:rPr>
        <w:t>三原县农业农村局</w:t>
      </w:r>
      <w:r>
        <w:rPr>
          <w:rFonts w:ascii="仿宋_GB2312" w:hAnsi="仿宋_GB2312" w:cs="仿宋_GB2312" w:eastAsia="仿宋_GB2312"/>
        </w:rPr>
        <w:t>委托，拟对</w:t>
      </w:r>
      <w:r>
        <w:rPr>
          <w:rFonts w:ascii="仿宋_GB2312" w:hAnsi="仿宋_GB2312" w:cs="仿宋_GB2312" w:eastAsia="仿宋_GB2312"/>
        </w:rPr>
        <w:t>三原县2025年度和美乡村建设项目初步设计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ZTHZB-2025-112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三原县2025年度和美乡村建设项目初步设计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的道路提升改造及新建工程涉及16个行政村，道路建设长度共105.32km，其中新建道路提升改造工程：铺设沥青面层的4.5米宽支路道路共45.952km，3.5米宽巷路道路共58.503km，新建4.5米宽混凝土支路道路共0.864km；道路配套排水系统400型U型渠共112.01km，原有沟渠的维修共27.778km； 路灯改造工程涉及16个行政村，共新建和更换太阳能路灯共2196盏；绿化工程涉及16个行政村，主要包括沿村民居住街道两边的地方及村民门前庭院进行乡村绿篱带的建设,新增绿化面积15751㎡；生活污水处理设施建设工程共涉及3个行政村,修建DN600污水收集管网约1.70km，配备43个φ1000塑料检查井；修建DN300污水收集管网约5.07km，配备128个φ700塑料检查井；在三个村修建DN200接户管共约4.58km；其中，在大程镇大程村新建并入城镇污水处理设施的管网共1.70km，修建接户管网共1.20km；在西阳镇东寨村新建污水收集管网1.82km接入到村内已建污水收集管网，修建接户管网共1.98km；在陂西镇蔡王村新建并入城镇污水处理设施管网3.25km，修建接户管网共1.40km；涉及的16个行政村配备电动生活垃圾收集车辆共43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采购包1（三原县2025年度和美乡村建设项目初步设计）：属于专门面向中小企业采购。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2、法定代表人身份证明/法定代表人授权委托书：法定代表人资格证明书、法定代表人授权委托书，附法定代表人（或负责人）身份证复印件及被授权人身份证复印件； 注：法定代表人（或负责人）直接参加投标只须提供法定代表人资格证明书及法定代表人（或负责人）身份证复印件；</w:t>
      </w:r>
    </w:p>
    <w:p>
      <w:pPr>
        <w:pStyle w:val="null3"/>
      </w:pPr>
      <w:r>
        <w:rPr>
          <w:rFonts w:ascii="仿宋_GB2312" w:hAnsi="仿宋_GB2312" w:cs="仿宋_GB2312" w:eastAsia="仿宋_GB2312"/>
        </w:rPr>
        <w:t>3、信用信息：供应商不得被“信用中国”网站(http://www.creditchina.gov.cn)列入“重大税收违法失信主体”；不得被中国执行信息公开网(http://zxgk.court.gov.cn/shixin/)列入”失信被执行人”；不得被中国政府采购网(http://www.ccgp.gov.cn)列入“政府采购严重违法失信行为记录名单”；（提供书面声明及网站截图，加盖供应商公章）</w:t>
      </w:r>
    </w:p>
    <w:p>
      <w:pPr>
        <w:pStyle w:val="null3"/>
      </w:pPr>
      <w:r>
        <w:rPr>
          <w:rFonts w:ascii="仿宋_GB2312" w:hAnsi="仿宋_GB2312" w:cs="仿宋_GB2312" w:eastAsia="仿宋_GB2312"/>
        </w:rPr>
        <w:t>4、供应商资质要求：供应商须具备有效的市政行业乙级及以上工程设计资质或市政行业（燃气工程、轨道交通工程除外）乙级及以上工程设计资质；</w:t>
      </w:r>
    </w:p>
    <w:p>
      <w:pPr>
        <w:pStyle w:val="null3"/>
      </w:pPr>
      <w:r>
        <w:rPr>
          <w:rFonts w:ascii="仿宋_GB2312" w:hAnsi="仿宋_GB2312" w:cs="仿宋_GB2312" w:eastAsia="仿宋_GB2312"/>
        </w:rPr>
        <w:t>5、项目负责人要求：供应商拟派项目负责人须具备市政工程相关专业高级工程师及以上职称。</w:t>
      </w:r>
    </w:p>
    <w:p>
      <w:pPr>
        <w:pStyle w:val="null3"/>
      </w:pPr>
      <w:r>
        <w:rPr>
          <w:rFonts w:ascii="仿宋_GB2312" w:hAnsi="仿宋_GB2312" w:cs="仿宋_GB2312" w:eastAsia="仿宋_GB2312"/>
        </w:rPr>
        <w:t>6、非联合体声明：本项目不接受联合体谈判。（提供非联合体书面声明并加盖供应商公章）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东一路中段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三原县农业农村局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13649100084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陕西中天禾招标项目管理有限公司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陕西省西安市经开区尚稷路8989号西安服务外包产业园创新孵化中心B座2层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029-89150039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价为基数，参照《国家计委关于印发〈招标代理服务收费管理暂行办法〉的通知》（计价格[2002]1980号）、《国家发展改革委关于降低部分建设项目收费标准规范收费行为等有关问题的通知》（发改价格[2011]534号）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三原县农业农村局</w:t>
      </w:r>
      <w:r>
        <w:rPr>
          <w:rFonts w:ascii="仿宋_GB2312" w:hAnsi="仿宋_GB2312" w:cs="仿宋_GB2312" w:eastAsia="仿宋_GB2312"/>
        </w:rPr>
        <w:t>和</w:t>
      </w:r>
      <w:r>
        <w:rPr>
          <w:rFonts w:ascii="仿宋_GB2312" w:hAnsi="仿宋_GB2312" w:cs="仿宋_GB2312" w:eastAsia="仿宋_GB2312"/>
        </w:rPr>
        <w:t>陕西中天禾招标项目管理有限公司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陕西中天禾招标项目管理有限公司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陕西中天禾招标项目管理有限公司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按照合同规定履行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陕西中天禾招标项目管理有限公司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陕西中天禾招标项目管理有限公司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陕西中天禾招标项目管理有限公司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联系人：黄工</w:t>
      </w:r>
    </w:p>
    <w:p>
      <w:pPr>
        <w:pStyle w:val="null3"/>
      </w:pPr>
      <w:r>
        <w:rPr>
          <w:rFonts w:ascii="仿宋_GB2312" w:hAnsi="仿宋_GB2312" w:cs="仿宋_GB2312" w:eastAsia="仿宋_GB2312"/>
        </w:rPr>
        <w:t>联系电话：02989150039</w:t>
      </w:r>
    </w:p>
    <w:p>
      <w:pPr>
        <w:pStyle w:val="null3"/>
      </w:pPr>
      <w:r>
        <w:rPr>
          <w:rFonts w:ascii="仿宋_GB2312" w:hAnsi="仿宋_GB2312" w:cs="仿宋_GB2312" w:eastAsia="仿宋_GB2312"/>
        </w:rPr>
        <w:t>地址：陕西省西安市经开区尚稷路8989号西安服务外包产业园创新孵化中心B座2层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的道路提升改造及新建工程涉及16个行政村，道路建设长度共105.32km，其中新建道路提升改造工程：铺设沥青面层的4.5米宽支路道路共45.952km，3.5米宽巷路道路共58.503km，新建4.5米宽混凝土支路道路共0.864km；道路配套排水系统400型U型渠共112.01km，原有沟渠的维修共27.778km； 路灯改造工程涉及16个行政村，共新建和更换太阳能路灯共2196盏；绿化工程涉及16个行政村，主要包括沿村民居住街道两边的地方及村民门前庭院进行乡村绿篱带的建设,新增绿化面积15751㎡；生活污水处理设施建设工程共涉及3个行政村,修建DN600污水收集管网约1.70km，配备43个φ1000塑料检查井；修建DN300污水收集管网约5.07km，配备128个φ700塑料检查井；在三个村修建DN200接户管共约4.58km；其中，在大程镇大程村新建并入城镇污水处理设施的管网共1.70km，修建接户管网共1.20km；在西阳镇东寨村新建污水收集管网1.82km接入到村内已建污水收集管网，修建接户管网共1.98km；在陂西镇蔡王村新建并入城镇污水处理设施管网3.25km，修建接户管网共1.40km；涉及的16个行政村配备电动生活垃圾收集车辆共43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992,000.00</w:t>
      </w:r>
    </w:p>
    <w:p>
      <w:pPr>
        <w:pStyle w:val="null3"/>
      </w:pPr>
      <w:r>
        <w:rPr>
          <w:rFonts w:ascii="仿宋_GB2312" w:hAnsi="仿宋_GB2312" w:cs="仿宋_GB2312" w:eastAsia="仿宋_GB2312"/>
        </w:rPr>
        <w:t>采购包最高限价（元）: 992,000.00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三原县2025年度和美乡村建设项目初步设计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标的名称：三原县2025年度和美乡村建设项目初步设计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采购项目概况：本项目的道路提升改造及新建工程涉及</w:t>
            </w:r>
            <w:r>
              <w:rPr>
                <w:rFonts w:ascii="仿宋_GB2312" w:hAnsi="仿宋_GB2312" w:cs="仿宋_GB2312" w:eastAsia="仿宋_GB2312"/>
                <w:sz w:val="24"/>
              </w:rPr>
              <w:t>16个行政村，道路建设长度共105.32km，其中新建道路提升改造工程：铺设沥青面层的4.5米宽支路道路共45.952km，3.5米宽巷路道路共58.503km，新建4.5米宽混凝土支路道路共0.864km；道路配套排水系统400型U型渠共112.01km，原有沟渠的维修共27.778km；</w:t>
            </w:r>
          </w:p>
          <w:p>
            <w:pPr>
              <w:pStyle w:val="null3"/>
              <w:ind w:firstLine="480"/>
              <w:jc w:val="both"/>
            </w:pPr>
            <w:r>
              <w:rPr>
                <w:rFonts w:ascii="仿宋_GB2312" w:hAnsi="仿宋_GB2312" w:cs="仿宋_GB2312" w:eastAsia="仿宋_GB2312"/>
                <w:sz w:val="24"/>
              </w:rPr>
              <w:t>路灯改造工程涉及</w:t>
            </w:r>
            <w:r>
              <w:rPr>
                <w:rFonts w:ascii="仿宋_GB2312" w:hAnsi="仿宋_GB2312" w:cs="仿宋_GB2312" w:eastAsia="仿宋_GB2312"/>
                <w:sz w:val="24"/>
              </w:rPr>
              <w:t>16个行政村，共新建和更换太阳能路灯共2196盏；绿化工程涉及16个行政村，主要包括沿村民居住街道两边的地方及村民门前庭院进行乡村绿篱带的建设,新增绿化面积15751㎡；生活污水处理设施建设工程共涉及3个行政村,修建DN600污水收集管网约1.70km，配备43个φ1000塑料检查井；修建DN300污水收集管网约5.07km，配备128个φ700塑料检查井；在三个村修建DN200接户管共约4.58km；其中，在大程镇大程村新建并入城镇污水处理设施的管网共1.70km，修建接户管网共1.20km；在西阳镇东寨村新建污水收集管网1.82km接入到村内已建污水收集管网，修建接户管网共1.98km；在陂西镇蔡王村新建并入城镇污水处理设施管网3.25km，修建接户管网共1.40km；涉及的16个行政村配备电动生活垃圾收集车辆共43辆。</w:t>
            </w:r>
          </w:p>
          <w:p>
            <w:pPr>
              <w:pStyle w:val="null3"/>
              <w:ind w:firstLine="480"/>
              <w:jc w:val="both"/>
            </w:pPr>
            <w:r>
              <w:rPr>
                <w:rFonts w:ascii="仿宋_GB2312" w:hAnsi="仿宋_GB2312" w:cs="仿宋_GB2312" w:eastAsia="仿宋_GB2312"/>
                <w:sz w:val="24"/>
              </w:rPr>
              <w:t>采购目标：</w:t>
            </w:r>
            <w:r>
              <w:rPr>
                <w:rFonts w:ascii="仿宋_GB2312" w:hAnsi="仿宋_GB2312" w:cs="仿宋_GB2312" w:eastAsia="仿宋_GB2312"/>
                <w:sz w:val="24"/>
              </w:rPr>
              <w:t>1</w:t>
            </w:r>
            <w:r>
              <w:rPr>
                <w:rFonts w:ascii="仿宋_GB2312" w:hAnsi="仿宋_GB2312" w:cs="仿宋_GB2312" w:eastAsia="仿宋_GB2312"/>
                <w:sz w:val="24"/>
              </w:rPr>
              <w:t>、提升村民生活质量。</w:t>
            </w:r>
            <w:r>
              <w:rPr>
                <w:rFonts w:ascii="仿宋_GB2312" w:hAnsi="仿宋_GB2312" w:cs="仿宋_GB2312" w:eastAsia="仿宋_GB2312"/>
                <w:sz w:val="24"/>
              </w:rPr>
              <w:t>2、促进乡村经济发展。3、保护和传承传统文化。4、推动城乡一体化发展。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技术标准和要求</w:t>
            </w:r>
          </w:p>
          <w:p>
            <w:pPr>
              <w:pStyle w:val="null3"/>
              <w:ind w:firstLine="480"/>
              <w:jc w:val="both"/>
            </w:pPr>
            <w:r>
              <w:rPr>
                <w:rFonts w:ascii="仿宋_GB2312" w:hAnsi="仿宋_GB2312" w:cs="仿宋_GB2312" w:eastAsia="仿宋_GB2312"/>
                <w:sz w:val="24"/>
              </w:rPr>
              <w:t>1.除合同另有约定外，本项目适用现行国家、省、市、行业和地方规范、标准和规程。</w:t>
            </w:r>
          </w:p>
          <w:p>
            <w:pPr>
              <w:pStyle w:val="null3"/>
              <w:ind w:firstLine="480"/>
              <w:jc w:val="both"/>
            </w:pPr>
            <w:r>
              <w:rPr>
                <w:rFonts w:ascii="仿宋_GB2312" w:hAnsi="仿宋_GB2312" w:cs="仿宋_GB2312" w:eastAsia="仿宋_GB2312"/>
                <w:sz w:val="24"/>
              </w:rPr>
              <w:t>2.规范、标准和规程如发生不一致时，则以要求最为严格的规范、规程或标准作为工作依据。</w:t>
            </w:r>
          </w:p>
          <w:p>
            <w:pPr>
              <w:pStyle w:val="null3"/>
              <w:ind w:firstLine="480"/>
              <w:jc w:val="both"/>
            </w:pPr>
            <w:r>
              <w:rPr>
                <w:rFonts w:ascii="仿宋_GB2312" w:hAnsi="仿宋_GB2312" w:cs="仿宋_GB2312" w:eastAsia="仿宋_GB2312"/>
                <w:sz w:val="24"/>
              </w:rPr>
              <w:t>3.在合同履行期间，供应商应满足采购人的特定技术要求，满足设计要求，满足陕西省及西安市的有关强制性规定；供应商应严格执行中华人民共和国强制性标准，执行现行的或即将颁布的行业标准、规范；如有新颁国家标准及行业标准、规范，采购人指令执行时，供应商应当执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 xml:space="preserve">  质量要求：符合国家及行业质量验收合格标准。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满足采购项目设计需求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满足采购项目设计需求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 1、按合同约定时间提交施工图设计的纸质版及电子版，经验收合格后，全部资料交采购人归档。2、项目人员应确保稳定；3、服务期内出现的任何意外及问题由中标方自行承担；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验收以项目采购文件、合同书、需求设计和相关政策法规等作为验收依据，供应商在项目验收前须提供详细的初验方案，经采购人确认后方可执项目验收合格后，双方签订验收报告。本项目将由采购人、供应商及项目相关组成的验收小组，负责对本项目进行全面验收。成交供应商应在工程完成后，提交全部相关文档、报告等交付物，可以向验收小组提出验收申请，进行验收。验收若不通过，采购人就如何处理提出意见，成交供应商须按照意见提出具体解决方案，处理时间应由双方协商决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签订合同后经审批通过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提交施工图设计文件后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本工程竣工验收后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双方当事人约定。在履行合同过程中产生争议时： 1.供应商未能按合同约定完成服务内容的。未完成的服务按照比例扣除相关费用，并按合同额的万分之五向甲方支付违约金。 2.因供应商原因导致项且终止，扣除已发生的项且成本和酬金，供应商需退还多余费用，并按合同额的万分之五向甲方支付违约金。 3.采购人未能按合同约定的时间节点向供应商支付费用的，每迟延一天按未支付部分的万分之五向乙方支付违约金。 4.因采购人原因导致项且终止，采购人需向供应商支付已发生的项且成本和酬金。并按合同额的万分之五向甲方支付违约金。 5.双方因履行本合同而发生的争议，应协商，调解解决。协商、调解不成的，提交咸阳仲裁委员会申请仲裁。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同时提供以下证明材料： （1）提供依法缴纳税收的良好记录，缴费所属日期为投标截止时间前六个月内任意已缴纳时段（投标截止时间当月不计入），证明文件应为至少包含增值税（或企业所得税）的缴费凭据或纳税的银行转账汇款单、对账单等；（依法免税的供应商应提供相关文件证明） （2）提供依法缴纳社会保障资金的良好记录，缴费所属日期为投标截止时间前六个月内任意已缴纳时段（投标截止时间当月不计入），证明文件应为转账汇款单或社保部门出具的缴纳社会保障金的凭证等；（依法不需要缴纳社会保障资金的供应商应提供相关证明） (3)提供参加政府采购活动前3年内在经营活动中没有重大违法记录的书面声明。 (4)提供履行合同所必需的设备和专业技术能力的书面声明。</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供应商提供经审计的2023或2024年度完整的财务审计报告(成立时间至响应文件递交截止时间不足一年的可提供成立后任意时段的资产负债表；事业法人提供部门决算报告；)或响应文件递交截止时间前六个月内其基本开户银行出具的资信证明（附《基本存款账户信息》或《银行开户许可证》复印件）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法定代表人资格证明书、法定代表人授权委托书，附法定代表人（或负责人）身份证复印件及被授权人身份证复印件； 注：法定代表人（或负责人）直接参加投标只须提供法定代表人资格证明书及法定代表人（或负责人）身份证复印件；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信用中国”网站(http://www.creditchina.gov.cn)列入“重大税收违法失信主体”；不得被中国执行信息公开网(http://zxgk.court.gov.cn/shixin/)列入”失信被执行人”；不得被中国政府采购网(http://www.ccgp.gov.cn)列入“政府采购严重违法失信行为记录名单”；（提供书面声明及网站截图，加盖供应商公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供应商须具备有效的市政行业乙级及以上工程设计资质或市政行业（燃气工程、轨道交通工程除外）乙级及以上工程设计资质；</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供应商拟派项目负责人须具备市政工程相关专业高级工程师及以上职称。</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本项目不接受联合体谈判。（提供非联合体书面声明并加盖供应商公章）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 招标文件要求的其他证明资料及供应商认为有必要说明的事宜.docx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响应文件的签署、盖章、格式应符合“磋商响应文件格式”要求。</w:t>
            </w:r>
          </w:p>
        </w:tc>
        <w:tc>
          <w:tcPr>
            <w:tcW w:type="dxa" w:w="1661"/>
          </w:tcPr>
          <w:p>
            <w:pPr>
              <w:pStyle w:val="null3"/>
            </w:pPr>
            <w:r>
              <w:rPr>
                <w:rFonts w:ascii="仿宋_GB2312" w:hAnsi="仿宋_GB2312" w:cs="仿宋_GB2312" w:eastAsia="仿宋_GB2312"/>
              </w:rPr>
              <w:t>供应商类似项目业绩.docx 服务内容及服务邀请应答表 中小企业声明函 商务应答表 服务承诺.docx 报价表 响应文件封面 项目重难点分析及合理化建议.docx 总体设计方案.docx 服务质量保障措施.docx 残疾人福利性单位声明函 标的清单 响应函 监狱企业的证明文件 拟投入项目组人员.docx 招标文件要求的其他证明资料及供应商认为有必要说明的事宜.docx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投标报价符合唯一性要求，不得提交选择性报价，且报价不超过采购预算金额或最高限价：992000.00元。</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符合磋商文件要求：自提交磋商响应文件截止之日起 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符合磋商文件要求：自合同签订之日起7日历天。</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符合招标文件要求：本项目专门面向中小企业采购。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w:t>
            </w:r>
          </w:p>
        </w:tc>
        <w:tc>
          <w:tcPr>
            <w:tcW w:type="dxa" w:w="1661"/>
          </w:tcPr>
          <w:p>
            <w:pPr>
              <w:pStyle w:val="null3"/>
            </w:pPr>
            <w:r>
              <w:rPr>
                <w:rFonts w:ascii="仿宋_GB2312" w:hAnsi="仿宋_GB2312" w:cs="仿宋_GB2312" w:eastAsia="仿宋_GB2312"/>
              </w:rPr>
              <w:t>供应商类似项目业绩.docx 服务内容及服务邀请应答表 中小企业声明函 商务应答表 服务承诺.docx 报价表 响应文件封面 项目重难点分析及合理化建议.docx 总体设计方案.docx 服务质量保障措施.docx 残疾人福利性单位声明函 标的清单 响应函 监狱企业的证明文件 拟投入项目组人员.docx 招标文件要求的其他证明资料及供应商认为有必要说明的事宜.docx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1、需求理解：5分 根据供应商对本项目的理解与认识进行综合评审： 对项目现状认识准确，理解到位得 5 分； 对项目现状认识较为准确，理解到位，得 4 分； 对项目现状认识基本准确，理解基本到位，得 3 分； 对项目现状认识宽泛，理解不到位，得 2 分； 对项目现状认识不准确，得 1 分； 未提供相关内容不得分。 2.设计实施方案：15分 提供完善、可靠的设计实施方案： 根据方案的科学性、合理性进行综合评审： 方案完整、科学，可操作性强得 15 分； 方案比较完整、科学，可操作性较强得 12 分； 方案相对科学，可操作性相对较强得 9 分； 方案基本科学，有一定的可操作性得 6 分； 方案有缺失，可操作性差，得 3 分； 未提供相关内容不得分。 3.进度规划：5分 针对本项目实际情况提供科学的时间规划方案。 根据方案的科学性、合理性进行综合评审： 进度规划完整、科学，可操作性强得5分； 进度规划比较完整、科学，可操作性较强得4分； 进度规划相对科学，可操作性相对较强得3分； 进度规划基本科学，有一定的可操作性得2分； 进度规划有缺失，可操作性差，得1分；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总体设计方案.docx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设计质量控制的保证措施：10分 措施内容全面、详细、承诺可操作性强，得10 分； 措施内容全面、承诺可操作性相对较强，得8 分； 措施内容全面、承诺具有一定的可操作性，得6 分； 措施内容基本全面、承诺具有可操作性，得4分； 措施内容空泛、粗略、承诺可操作性有待考究，得2分。 未提供相关内容不得分。 设计服务组织的保证措施（10分） 措施内容全面、详细、承诺可操作性强，得10 分； 措施内容全面、承诺可操作性相对较强，得8 分； 措施内容全面、承诺具有一定的可操作性，得6 分； 措施内容基本全面、承诺具有可操作性，得4分； 措施内容空泛、粗略、承诺可操作性有待考究，得2分。 未提供相关内容不得分。 设计成本控制措施：5分 措施内容全面、详细、承诺可操作性强，得5 分； 措施内容全面、承诺可操作性相对较强，得4 分； 措施内容全面、承诺具有一定的可操作性，得3 分； 措施内容基本全面、承诺具有可操作性，得2分； 措施内容空泛、粗略、承诺可操作性有待考究，得1分。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项目重难点分析及合理化建议</w:t>
            </w:r>
          </w:p>
        </w:tc>
        <w:tc>
          <w:tcPr>
            <w:tcW w:type="dxa" w:w="2492"/>
          </w:tcPr>
          <w:p>
            <w:pPr>
              <w:pStyle w:val="null3"/>
            </w:pPr>
            <w:r>
              <w:rPr>
                <w:rFonts w:ascii="仿宋_GB2312" w:hAnsi="仿宋_GB2312" w:cs="仿宋_GB2312" w:eastAsia="仿宋_GB2312"/>
              </w:rPr>
              <w:t>结合项目实际，对本项目的重点难点进行分析，提出详细的应对措施及合理化建议。 根据重难点分析及合理化建议进行综合评审： 重难点分析及合理化建议内容科学可行，有针对性且内容丰富，得 10 分； 重难点分析及合理化建议重难点分析及建议内容可行，针对性较强，得 8分； 重难点分析及合理化建议内容相对可行，针对性相对较强，得6分； 重难点分析及合理化建议内容基本可行，具有一定的针对性，得4分； 重难点分析及合理化建议内容存在漏洞，不具备针对性，得2分；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项目重难点分析及合理化建议.docx</w:t>
            </w:r>
          </w:p>
        </w:tc>
      </w:tr>
      <w:tr>
        <w:tc>
          <w:tcPr>
            <w:tcW w:type="dxa" w:w="831"/>
            <w:vMerge/>
          </w:tcPr>
          <w:p/>
        </w:tc>
        <w:tc>
          <w:tcPr>
            <w:tcW w:type="dxa" w:w="1661"/>
          </w:tcPr>
          <w:p>
            <w:pPr>
              <w:pStyle w:val="null3"/>
            </w:pPr>
            <w:r>
              <w:rPr>
                <w:rFonts w:ascii="仿宋_GB2312" w:hAnsi="仿宋_GB2312" w:cs="仿宋_GB2312" w:eastAsia="仿宋_GB2312"/>
              </w:rPr>
              <w:t>拟投入项目组人员</w:t>
            </w:r>
          </w:p>
        </w:tc>
        <w:tc>
          <w:tcPr>
            <w:tcW w:type="dxa" w:w="2492"/>
          </w:tcPr>
          <w:p>
            <w:pPr>
              <w:pStyle w:val="null3"/>
            </w:pPr>
            <w:r>
              <w:rPr>
                <w:rFonts w:ascii="仿宋_GB2312" w:hAnsi="仿宋_GB2312" w:cs="仿宋_GB2312" w:eastAsia="仿宋_GB2312"/>
              </w:rPr>
              <w:t>项目组人员具备高级及以上职称，每提供一名得2分，具备中级职称，每提供一名得1分，最高得10分。 注：提供上述人员的职称证和身份证及近3个月在供应商本单位缴纳的社保证明材料复印件加盖公章。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对工作响应及时，能高效、优质的完成各项工作，提供本项目的服务承诺书； 服务承诺内容全面、详细、具体、承诺可操作性强，得10分； 服务承诺内容全面、承诺可操作性较强，得8分； 服务承诺内容全面、承诺具有一定的可操作性，得6分； 服务承诺内容基本全面、承诺具有可操作性，得4分； 服务承诺内容空泛、粗略、承诺可操作性有待考究，得2分。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具有近三年（2022年6月至今）的类似项目业绩，磋商响应文件中附有说明其业绩证明材料（以合同签订时间为准，须提供合同复印件并加盖供应商公章），每有一个得2分，最高得10分。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1.经资格审查、符合性审查合格的投标投标文件，其投标报价为有效投标报价。 2.满足磋商文件实质性要求且最终报价最低的供应商的价格为磋商基准价，其价格分为满分10分 3.磋商报价得分=(磋商基准价/磋商报价)x10 。本项目专门面向中小企业，不再执行价格优惠政策。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详见附件：总体设计方案.docx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详见附件：项目重难点分析及合理化建议.docx</w:t>
      </w:r>
    </w:p>
    <w:p>
      <w:pPr>
        <w:pStyle w:val="null3"/>
        <w:ind w:firstLine="960"/>
      </w:pPr>
      <w:r>
        <w:rPr>
          <w:rFonts w:ascii="仿宋_GB2312" w:hAnsi="仿宋_GB2312" w:cs="仿宋_GB2312" w:eastAsia="仿宋_GB2312"/>
        </w:rPr>
        <w:t>详见附件：拟投入项目组人员.docx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详见附件：供应商类似项目业绩.docx</w:t>
      </w:r>
    </w:p>
    <w:p>
      <w:pPr>
        <w:pStyle w:val="null3"/>
        <w:ind w:firstLine="960"/>
      </w:pPr>
      <w:r>
        <w:rPr>
          <w:rFonts w:ascii="仿宋_GB2312" w:hAnsi="仿宋_GB2312" w:cs="仿宋_GB2312" w:eastAsia="仿宋_GB2312"/>
        </w:rPr>
        <w:t>详见附件：招标文件要求的其他证明资料及供应商认为有必要说明的事宜.docx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