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版本号：SXKKSYFGS2025-01720250613003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咸阳市三原县清河北岸片区排水防涝设施建设项目-初步设计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SXKKSYFGS2025-017</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咸阳市三原县清河北岸片区排水防涝设施建设项目-初步设计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咸阳市三原县清河北岸片区排水防涝设施建设项目-初步设计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该项目涉及龙桥大街东段、北城后街、商务北路、商务南路、裕原路城区段5条道路。改造雨水主管道共计4930m，过路预埋支管375.5m、雨水接口连接管3988m,设置雨水检查井107座、雨水口339个。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资质：供应商须具备工程设计综合资质或工程设计行业资质市政行业甲级资质或工程设计专业资质市政行业（排水工程专业）甲级资质，拟派项目负责人须具备(市政工程相关专业)高级及以上技术职称或注册公用设备工程师（给水排水），提供开标截止时间前6个月内至少一个月供应商为其缴纳的社会保险证明材料（五险一金提供一项即可），且无不良记录；</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4、税收缴纳证明：提供开标截止时间前6个月内至少已缴纳1个月的完税证明，完税证明上应有代收机构或税务机关的公章或业务专用章。依法免税或新成立的供应商应提供相关文件证明；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5、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6、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三原县住房和城乡建设局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安海妮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13409103525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代理服务费收费标准：代理服务费收费标准：参照国家计委计价格[2002]1980号及发改办价格[2003]857号通知规定，由成交供应商支付采购代理服务费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设计企业资质及人员配备达到项目实施要求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该项目涉及龙桥大街东段、北城后街、商务北路、商务南路、裕原路城区段5条道路。改造雨水主管道共计4930m，过路预埋支管375.5m、雨水接口连接管3988m,设置雨水检查井107座、雨水口339个。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673,600.00</w:t>
      </w:r>
    </w:p>
    <w:p>
      <w:pPr>
        <w:pStyle w:val="null3"/>
      </w:pPr>
      <w:r>
        <w:rPr>
          <w:rFonts w:ascii="仿宋_GB2312" w:hAnsi="仿宋_GB2312" w:cs="仿宋_GB2312" w:eastAsia="仿宋_GB2312"/>
        </w:rPr>
        <w:t>采购包最高限价（元）: 673,600.00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咸阳市三原县清河北岸片区排水防涝设 施建设项目-初步设计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673,600.00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标的名称：咸阳市三原县清河北岸片区排水防涝设 施建设项目-初步设计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该项目涉及龙桥大街东段、北城后街、商务北路、商务南路、裕原路城区段5条道路。改造雨水主管道共计4930m，过路预埋支管375.5m、雨水接口连接管3988m,设置雨水检查井107座、雨水口339个。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二、服务内容</w:t>
            </w:r>
          </w:p>
          <w:p>
            <w:pPr>
              <w:pStyle w:val="null3"/>
              <w:jc w:val="both"/>
            </w:pPr>
            <w:r>
              <w:rPr>
                <w:rFonts w:ascii="仿宋_GB2312" w:hAnsi="仿宋_GB2312" w:cs="仿宋_GB2312" w:eastAsia="仿宋_GB2312"/>
                <w:sz w:val="18"/>
              </w:rPr>
              <w:t>龙桥大街东段、北城后街、商务北路、商务南路、裕原路城区段5条道路。改造雨水主管道共计4930m，过路预埋支管375.5m、雨水接口连接管3988m,设置雨水检查井107座、雨水口339个。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三、设计依据</w:t>
            </w:r>
          </w:p>
          <w:p>
            <w:pPr>
              <w:pStyle w:val="null3"/>
              <w:ind w:firstLine="400"/>
              <w:jc w:val="both"/>
            </w:pPr>
            <w:r>
              <w:rPr>
                <w:rFonts w:ascii="仿宋_GB2312" w:hAnsi="仿宋_GB2312" w:cs="仿宋_GB2312" w:eastAsia="仿宋_GB2312"/>
                <w:sz w:val="18"/>
              </w:rPr>
              <w:t>1</w:t>
            </w:r>
            <w:r>
              <w:rPr>
                <w:rFonts w:ascii="仿宋_GB2312" w:hAnsi="仿宋_GB2312" w:cs="仿宋_GB2312" w:eastAsia="仿宋_GB2312"/>
                <w:sz w:val="18"/>
              </w:rPr>
              <w:t>、国家有关法律、法规、标准、规范及省、市有关规定。</w:t>
            </w:r>
          </w:p>
          <w:p>
            <w:pPr>
              <w:pStyle w:val="null3"/>
              <w:ind w:firstLine="400"/>
              <w:jc w:val="both"/>
            </w:pPr>
            <w:r>
              <w:rPr>
                <w:rFonts w:ascii="仿宋_GB2312" w:hAnsi="仿宋_GB2312" w:cs="仿宋_GB2312" w:eastAsia="仿宋_GB2312"/>
                <w:sz w:val="18"/>
              </w:rPr>
              <w:t>2</w:t>
            </w:r>
            <w:r>
              <w:rPr>
                <w:rFonts w:ascii="仿宋_GB2312" w:hAnsi="仿宋_GB2312" w:cs="仿宋_GB2312" w:eastAsia="仿宋_GB2312"/>
                <w:sz w:val="18"/>
              </w:rPr>
              <w:t>、甲方提供设计依据。</w:t>
            </w:r>
          </w:p>
          <w:p>
            <w:pPr>
              <w:pStyle w:val="null3"/>
              <w:ind w:firstLine="400"/>
              <w:jc w:val="both"/>
            </w:pPr>
            <w:r>
              <w:rPr>
                <w:rFonts w:ascii="仿宋_GB2312" w:hAnsi="仿宋_GB2312" w:cs="仿宋_GB2312" w:eastAsia="仿宋_GB2312"/>
                <w:sz w:val="18"/>
              </w:rPr>
              <w:t>3</w:t>
            </w:r>
            <w:r>
              <w:rPr>
                <w:rFonts w:ascii="仿宋_GB2312" w:hAnsi="仿宋_GB2312" w:cs="仿宋_GB2312" w:eastAsia="仿宋_GB2312"/>
                <w:sz w:val="18"/>
              </w:rPr>
              <w:t>、政府各主管部门规划审批文件。</w:t>
            </w:r>
          </w:p>
          <w:p>
            <w:pPr>
              <w:pStyle w:val="null3"/>
              <w:ind w:firstLine="400"/>
              <w:jc w:val="both"/>
            </w:pPr>
            <w:r>
              <w:rPr>
                <w:rFonts w:ascii="仿宋_GB2312" w:hAnsi="仿宋_GB2312" w:cs="仿宋_GB2312" w:eastAsia="仿宋_GB2312"/>
                <w:sz w:val="18"/>
              </w:rPr>
              <w:t>4</w:t>
            </w:r>
            <w:r>
              <w:rPr>
                <w:rFonts w:ascii="仿宋_GB2312" w:hAnsi="仿宋_GB2312" w:cs="仿宋_GB2312" w:eastAsia="仿宋_GB2312"/>
                <w:sz w:val="18"/>
              </w:rPr>
              <w:t>、《市政公用工程设计文件编制深度规定》。</w:t>
            </w:r>
          </w:p>
          <w:p>
            <w:pPr>
              <w:pStyle w:val="null3"/>
              <w:ind w:firstLine="400"/>
              <w:jc w:val="both"/>
            </w:pPr>
            <w:r>
              <w:rPr>
                <w:rFonts w:ascii="仿宋_GB2312" w:hAnsi="仿宋_GB2312" w:cs="仿宋_GB2312" w:eastAsia="仿宋_GB2312"/>
                <w:sz w:val="18"/>
              </w:rPr>
              <w:t>5</w:t>
            </w:r>
            <w:r>
              <w:rPr>
                <w:rFonts w:ascii="仿宋_GB2312" w:hAnsi="仿宋_GB2312" w:cs="仿宋_GB2312" w:eastAsia="仿宋_GB2312"/>
                <w:sz w:val="18"/>
              </w:rPr>
              <w:t>、甲方的设计标准、审核意见及其他设计要求。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0"/>
              <w:jc w:val="both"/>
            </w:pPr>
            <w:r>
              <w:rPr>
                <w:rFonts w:ascii="仿宋_GB2312" w:hAnsi="仿宋_GB2312" w:cs="仿宋_GB2312" w:eastAsia="仿宋_GB2312"/>
                <w:sz w:val="18"/>
              </w:rPr>
              <w:t>四、技术要求</w:t>
            </w:r>
          </w:p>
          <w:p>
            <w:pPr>
              <w:pStyle w:val="null3"/>
            </w:pPr>
            <w:r>
              <w:rPr>
                <w:rFonts w:ascii="仿宋_GB2312" w:hAnsi="仿宋_GB2312" w:cs="仿宋_GB2312" w:eastAsia="仿宋_GB2312"/>
                <w:sz w:val="16"/>
              </w:rPr>
              <w:t xml:space="preserve">     1、设计单位遵循现行法律法规和规范标准，按照设计管理要求进行初步设计工作。满足现行《市政公用工程设计文件编制深度规定》</w:t>
            </w:r>
          </w:p>
          <w:p>
            <w:pPr>
              <w:pStyle w:val="null3"/>
            </w:pPr>
            <w:r>
              <w:rPr>
                <w:rFonts w:ascii="仿宋_GB2312" w:hAnsi="仿宋_GB2312" w:cs="仿宋_GB2312" w:eastAsia="仿宋_GB2312"/>
                <w:sz w:val="16"/>
              </w:rPr>
              <w:t xml:space="preserve">     2、其它招标人要求的内容。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00"/>
            </w:pPr>
            <w:r>
              <w:rPr>
                <w:rFonts w:ascii="仿宋_GB2312" w:hAnsi="仿宋_GB2312" w:cs="仿宋_GB2312" w:eastAsia="仿宋_GB2312"/>
                <w:sz w:val="18"/>
              </w:rPr>
              <w:t>五、商务要求：</w:t>
            </w:r>
          </w:p>
          <w:p>
            <w:pPr>
              <w:pStyle w:val="null3"/>
              <w:ind w:firstLine="400"/>
            </w:pPr>
            <w:r>
              <w:rPr>
                <w:rFonts w:ascii="仿宋_GB2312" w:hAnsi="仿宋_GB2312" w:cs="仿宋_GB2312" w:eastAsia="仿宋_GB2312"/>
                <w:sz w:val="18"/>
              </w:rPr>
              <w:t>（一）价格：</w:t>
            </w:r>
          </w:p>
          <w:p>
            <w:pPr>
              <w:pStyle w:val="null3"/>
              <w:ind w:firstLine="400"/>
            </w:pPr>
            <w:r>
              <w:rPr>
                <w:rFonts w:ascii="仿宋_GB2312" w:hAnsi="仿宋_GB2312" w:cs="仿宋_GB2312" w:eastAsia="仿宋_GB2312"/>
                <w:sz w:val="18"/>
              </w:rPr>
              <w:t>1、合同单价包括：服务费、售后服务费、利润、税金、保险、相关伴随费用等的一切费用。</w:t>
            </w:r>
          </w:p>
          <w:p>
            <w:pPr>
              <w:pStyle w:val="null3"/>
              <w:ind w:firstLine="400"/>
            </w:pPr>
            <w:r>
              <w:rPr>
                <w:rFonts w:ascii="仿宋_GB2312" w:hAnsi="仿宋_GB2312" w:cs="仿宋_GB2312" w:eastAsia="仿宋_GB2312"/>
                <w:sz w:val="18"/>
              </w:rPr>
              <w:t>2、合同有效期内，合同单价一次包死，不受国家政策性调价或原材料价格变化及外汇汇率变化的影响，并作为最终结算的唯一依据。</w:t>
            </w:r>
          </w:p>
          <w:p>
            <w:pPr>
              <w:pStyle w:val="null3"/>
            </w:pPr>
            <w:r>
              <w:rPr>
                <w:rFonts w:ascii="仿宋_GB2312" w:hAnsi="仿宋_GB2312" w:cs="仿宋_GB2312" w:eastAsia="仿宋_GB2312"/>
                <w:sz w:val="18"/>
              </w:rPr>
              <w:t xml:space="preserve">   3、服务承诺：供应商应遵照国家规范规定的技术服务内容及要求作出明确承诺。</w:t>
            </w:r>
          </w:p>
          <w:p>
            <w:pPr>
              <w:pStyle w:val="null3"/>
              <w:ind w:firstLine="400"/>
            </w:pPr>
            <w:r>
              <w:rPr>
                <w:rFonts w:ascii="仿宋_GB2312" w:hAnsi="仿宋_GB2312" w:cs="仿宋_GB2312" w:eastAsia="仿宋_GB2312"/>
                <w:sz w:val="18"/>
              </w:rPr>
              <w:t>（二）质量安排排查保密要求：</w:t>
            </w:r>
          </w:p>
          <w:p>
            <w:pPr>
              <w:pStyle w:val="null3"/>
              <w:ind w:firstLine="400"/>
            </w:pPr>
            <w:r>
              <w:rPr>
                <w:rFonts w:ascii="仿宋_GB2312" w:hAnsi="仿宋_GB2312" w:cs="仿宋_GB2312" w:eastAsia="仿宋_GB2312"/>
                <w:sz w:val="18"/>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pPr>
              <w:pStyle w:val="null3"/>
              <w:ind w:firstLine="400"/>
            </w:pPr>
            <w:r>
              <w:rPr>
                <w:rFonts w:ascii="仿宋_GB2312" w:hAnsi="仿宋_GB2312" w:cs="仿宋_GB2312" w:eastAsia="仿宋_GB2312"/>
                <w:sz w:val="18"/>
              </w:rPr>
              <w:t>（三）质量保证：</w:t>
            </w:r>
          </w:p>
          <w:p>
            <w:pPr>
              <w:pStyle w:val="null3"/>
              <w:ind w:firstLine="400"/>
            </w:pPr>
            <w:r>
              <w:rPr>
                <w:rFonts w:ascii="仿宋_GB2312" w:hAnsi="仿宋_GB2312" w:cs="仿宋_GB2312" w:eastAsia="仿宋_GB2312"/>
                <w:sz w:val="18"/>
              </w:rPr>
              <w:t>成交供应商保证服务质量完全符合合同规定的质量标准及国家有关规范和标准。</w:t>
            </w:r>
          </w:p>
          <w:p>
            <w:pPr>
              <w:pStyle w:val="null3"/>
              <w:ind w:firstLine="400"/>
              <w:jc w:val="both"/>
            </w:pPr>
            <w:r>
              <w:rPr>
                <w:rFonts w:ascii="仿宋_GB2312" w:hAnsi="仿宋_GB2312" w:cs="仿宋_GB2312" w:eastAsia="仿宋_GB2312"/>
                <w:sz w:val="18"/>
              </w:rPr>
              <w:t>（四）验收：</w:t>
            </w:r>
          </w:p>
          <w:p>
            <w:pPr>
              <w:pStyle w:val="null3"/>
              <w:ind w:firstLine="400"/>
              <w:jc w:val="both"/>
            </w:pPr>
            <w:r>
              <w:rPr>
                <w:rFonts w:ascii="仿宋_GB2312" w:hAnsi="仿宋_GB2312" w:cs="仿宋_GB2312" w:eastAsia="仿宋_GB2312"/>
                <w:sz w:val="18"/>
              </w:rPr>
              <w:t>1、成交供应商对最终的服务质量负完全责任。</w:t>
            </w:r>
          </w:p>
          <w:p>
            <w:pPr>
              <w:pStyle w:val="null3"/>
              <w:ind w:firstLine="400"/>
              <w:jc w:val="both"/>
            </w:pPr>
            <w:r>
              <w:rPr>
                <w:rFonts w:ascii="仿宋_GB2312" w:hAnsi="仿宋_GB2312" w:cs="仿宋_GB2312" w:eastAsia="仿宋_GB2312"/>
                <w:sz w:val="18"/>
              </w:rPr>
              <w:t>2、验收依据：</w:t>
            </w:r>
          </w:p>
          <w:p>
            <w:pPr>
              <w:pStyle w:val="null3"/>
              <w:ind w:firstLine="400"/>
              <w:jc w:val="both"/>
            </w:pPr>
            <w:r>
              <w:rPr>
                <w:rFonts w:ascii="仿宋_GB2312" w:hAnsi="仿宋_GB2312" w:cs="仿宋_GB2312" w:eastAsia="仿宋_GB2312"/>
                <w:sz w:val="18"/>
              </w:rPr>
              <w:t>（1）合同；</w:t>
            </w:r>
          </w:p>
          <w:p>
            <w:pPr>
              <w:pStyle w:val="null3"/>
              <w:ind w:firstLine="400"/>
              <w:jc w:val="both"/>
            </w:pPr>
            <w:r>
              <w:rPr>
                <w:rFonts w:ascii="仿宋_GB2312" w:hAnsi="仿宋_GB2312" w:cs="仿宋_GB2312" w:eastAsia="仿宋_GB2312"/>
                <w:sz w:val="18"/>
              </w:rPr>
              <w:t>（2）国家有关的验收标准及规范；</w:t>
            </w:r>
          </w:p>
          <w:p>
            <w:pPr>
              <w:pStyle w:val="null3"/>
              <w:ind w:firstLine="400"/>
              <w:jc w:val="both"/>
            </w:pPr>
            <w:r>
              <w:rPr>
                <w:rFonts w:ascii="仿宋_GB2312" w:hAnsi="仿宋_GB2312" w:cs="仿宋_GB2312" w:eastAsia="仿宋_GB2312"/>
                <w:sz w:val="18"/>
              </w:rPr>
              <w:t>（3）竞争性磋商文件、竞争性磋商响应文件；</w:t>
            </w:r>
          </w:p>
          <w:p>
            <w:pPr>
              <w:pStyle w:val="null3"/>
              <w:ind w:firstLine="400"/>
              <w:jc w:val="both"/>
            </w:pPr>
            <w:r>
              <w:rPr>
                <w:rFonts w:ascii="仿宋_GB2312" w:hAnsi="仿宋_GB2312" w:cs="仿宋_GB2312" w:eastAsia="仿宋_GB2312"/>
                <w:sz w:val="18"/>
              </w:rPr>
              <w:t>（五）合同实施：</w:t>
            </w:r>
          </w:p>
          <w:p>
            <w:pPr>
              <w:pStyle w:val="null3"/>
              <w:ind w:firstLine="400"/>
              <w:jc w:val="both"/>
            </w:pPr>
            <w:r>
              <w:rPr>
                <w:rFonts w:ascii="仿宋_GB2312" w:hAnsi="仿宋_GB2312" w:cs="仿宋_GB2312" w:eastAsia="仿宋_GB2312"/>
                <w:sz w:val="18"/>
              </w:rPr>
              <w:t>1、成交供应商应在合同签订后尽快安排人员与采购单位就服务工作进行安排、部署。</w:t>
            </w:r>
          </w:p>
          <w:p>
            <w:pPr>
              <w:pStyle w:val="null3"/>
              <w:ind w:firstLine="400"/>
              <w:jc w:val="both"/>
            </w:pPr>
            <w:r>
              <w:rPr>
                <w:rFonts w:ascii="仿宋_GB2312" w:hAnsi="仿宋_GB2312" w:cs="仿宋_GB2312" w:eastAsia="仿宋_GB2312"/>
                <w:sz w:val="18"/>
              </w:rPr>
              <w:t>2、若因成交供应商原因未能在服务期内完成合同规定的义务，由此对采购人造成的延误和一切损失，由成交单位人承担和赔偿。</w:t>
            </w:r>
          </w:p>
          <w:p>
            <w:pPr>
              <w:pStyle w:val="null3"/>
              <w:ind w:firstLine="400"/>
              <w:jc w:val="both"/>
            </w:pPr>
            <w:r>
              <w:rPr>
                <w:rFonts w:ascii="仿宋_GB2312" w:hAnsi="仿宋_GB2312" w:cs="仿宋_GB2312" w:eastAsia="仿宋_GB2312"/>
                <w:sz w:val="18"/>
              </w:rPr>
              <w:t>（六）设计服务期：</w:t>
            </w:r>
          </w:p>
          <w:p>
            <w:pPr>
              <w:pStyle w:val="null3"/>
              <w:ind w:firstLine="400"/>
              <w:jc w:val="both"/>
            </w:pPr>
            <w:r>
              <w:rPr>
                <w:rFonts w:ascii="仿宋_GB2312" w:hAnsi="仿宋_GB2312" w:cs="仿宋_GB2312" w:eastAsia="仿宋_GB2312"/>
                <w:sz w:val="18"/>
              </w:rPr>
              <w:t>自接到甲方委托之日起90日内提交完整的初步设计文件。</w:t>
            </w:r>
          </w:p>
          <w:p>
            <w:pPr>
              <w:pStyle w:val="null3"/>
              <w:jc w:val="both"/>
            </w:pPr>
            <w:r>
              <w:rPr>
                <w:rFonts w:ascii="仿宋_GB2312" w:hAnsi="仿宋_GB2312" w:cs="仿宋_GB2312" w:eastAsia="仿宋_GB2312"/>
                <w:sz w:val="18"/>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三原县住建局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乙方提交成果后且验收合格后达到付款条件30日内付款100%。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根据项目进度，按合同约定支付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工程设计综合资质或工程设计行业资质市政行业甲级资质或工程设计专业资质市政行业（排水工程专业）甲级资质，拟派项目负责人须具备(市政工程相关专业)高级及以上技术职称或注册公用设备工程师（给水排水），提供开标截止时间前6个月内至少一个月供应商为其缴纳的社会保险证明材料（五险一金提供一项即可），且无不良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响应文件数量</w:t>
            </w:r>
          </w:p>
        </w:tc>
        <w:tc>
          <w:tcPr>
            <w:tcW w:type="dxa" w:w="3322"/>
          </w:tcPr>
          <w:p>
            <w:pPr>
              <w:pStyle w:val="null3"/>
            </w:pPr>
            <w:r>
              <w:rPr>
                <w:rFonts w:ascii="仿宋_GB2312" w:hAnsi="仿宋_GB2312" w:cs="仿宋_GB2312" w:eastAsia="仿宋_GB2312"/>
              </w:rPr>
              <w:t>磋商响应文件不符合磋商文件要求的数量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针对本项目的理解，内容包括但不限于①对本项目的背景、内容及意义理解②项目的重点内容分析③项目功能定位④项目内容全面认知等。 方案内容详细完整、针对性强、可行性高，符合项目实际要求。 每项满分2分，缺项不得分，每项内容存在 缺陷，扣0.5-1.5分。 缺陷是指内 容不合理、虽有内容但不完善、内 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针对本项目的实施方案，包括①设计深度与规范符合性②设计内容完整性③设计思路清晰性④需求匹配度⑤实施可行性⑥技术完整性等。方案内容详细完整、针对性强、可行性高，符合项目实际 要求。 每项满分2分，缺项不得分 , 每项内容存在缺陷，扣0.5-1.5分。缺陷是指内容不合理、虽有内容但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针对本项目的重难点分析，包括①重点难点识别全面性②应对措施针对性③技术衔接与兼容性问题④建议可行性等。方案内容详细完整、针对性强、可行性高，符合项目实际 要求。 每项满分2分，缺项不得分 , 每项内容存在缺陷，扣0.5-1.5分。缺陷是指内容不合理、虽有内容但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针对本项目的设计质量控制的保 证措施，包括①规范执行与标准落地②全流程质量管控机制③专业协同与技术复核④质量追溯与动态优化等。方案内容详细完整、针对性强、可行性高，符合项目实际 要求。 每项满分2分，缺项不得分 , 每项内容存在缺陷，扣0.5-1.5分。缺陷是指内容不合理、虽有内容但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针对本项目的设计时间进度安排计划，包括①阶段划分与关键节点②资源配置与进度保障③风险应对与动态调整④进度可视化与验收标准等。方案内容详细完整、针对性强、可行性高，符合项目实际 要求。 每项满分2分，缺项不得分 , 每项内容存在缺陷，扣0.5-1.5分。缺陷是指内容不合理、虽有内容但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针对本项目的设计服务组织的保证措施，包括①团队架构与职责分工②资沟通机制与流程规范③风险防控与应急响应④质量监督与持续改进等。方案内容详细完整、针对性强、可行性高，符合项目实际 要求。 每项满分2分，缺项不得分 , 每项内容存在缺陷，扣0.5-1.5分。缺陷是指内容不合理、虽有内容但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项目设计成本控制措施</w:t>
            </w:r>
          </w:p>
        </w:tc>
        <w:tc>
          <w:tcPr>
            <w:tcW w:type="dxa" w:w="2492"/>
          </w:tcPr>
          <w:p>
            <w:pPr>
              <w:pStyle w:val="null3"/>
            </w:pPr>
            <w:r>
              <w:rPr>
                <w:rFonts w:ascii="仿宋_GB2312" w:hAnsi="仿宋_GB2312" w:cs="仿宋_GB2312" w:eastAsia="仿宋_GB2312"/>
              </w:rPr>
              <w:t>针对本项目的项目设计成本控制措施，包括①限额设计与目标分解②方案比选与技术经济论证③全流程成本管控节点④动态监控与偏差调整等。方案内容详细完整、针对性强、可行性高，符合项目实际 要求。 每项满分2分，缺项不得分 , 每项内容存在缺陷，扣0.5-1.5分。缺陷是指内容不合理、虽有内容但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项目组人员具备高级及以上职称，每提供一名得2.5分，最高得 5分，具备中级职称，每提供一名得2分，最高得 4 分。 注：提供上述人员的职称证和身份证加盖公章。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针对本项目的项目服务承诺，包括①响应及时性保障②设计变更管理③后期服务跟进等。方案内容详细完整、针对性强、可行性高，符合项目实际 要求。 每项满分2分，缺项不得分 , 每项内容存在缺陷，扣0.5-1.5分。缺陷是指内容不合理、虽有内容但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 年 1 月至今具有类似项目业绩 ，每提供一份合同得2分，共计10分。（注：提供设计服务合同，时间以合同签订时间 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 为满分。其他供应商的价格分统一按照下列公式计算： 投标报价得分=（评标基准价/投标报价）×价格权值。 符合招标文件规定的小微企业、监狱企业、残疾人福利企业优惠条 件的供应商，价格给予 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详见附件：初步设计合同-1.docx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