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版本号：SDZC2025-12820250715001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临履大街等九条街区通信管道维修及线缆落地项目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SDZC2025-128</w:t>
      </w:r>
      <w:r>
        <w:br/>
      </w:r>
      <w:r>
        <w:br/>
      </w:r>
      <w:r>
        <w:br/>
      </w:r>
    </w:p>
    <w:p>
      <w:pPr>
        <w:pStyle w:val="null3"/>
        <w:jc w:val="center"/>
        <w:outlineLvl w:val="2"/>
      </w:pPr>
      <w:r>
        <w:rPr>
          <w:rFonts w:ascii="仿宋_GB2312" w:hAnsi="仿宋_GB2312" w:cs="仿宋_GB2312" w:eastAsia="仿宋_GB2312"/>
          <w:sz w:val="28"/>
          <w:b/>
        </w:rPr>
        <w:t>三原县城乡管理执法局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三原县城乡管理执法局</w:t>
      </w:r>
      <w:r>
        <w:rPr>
          <w:rFonts w:ascii="仿宋_GB2312" w:hAnsi="仿宋_GB2312" w:cs="仿宋_GB2312" w:eastAsia="仿宋_GB2312"/>
        </w:rPr>
        <w:t>委托，拟对</w:t>
      </w:r>
      <w:r>
        <w:rPr>
          <w:rFonts w:ascii="仿宋_GB2312" w:hAnsi="仿宋_GB2312" w:cs="仿宋_GB2312" w:eastAsia="仿宋_GB2312"/>
        </w:rPr>
        <w:t>临履大街等九条街区通信管道维修及线缆落地项目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SDZC2025-128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临履大街等九条街区通信管道维修及线缆落地项目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临履大街等九条街区通信管道维修及线缆落地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具有建设行政主管部门颁发的市政公用工程施工总承包三级以上（含三级）资质，同时具有合格有效的安全生产许可证；拟派项目经理须具备市政公用工程专业二级以上（含二级）注册建造师证书和有效的安全生产考核证书（B证），在本单位注册，提供无在建工程承诺书：具有建设行政主管部门颁发的市政公用工程施工总承包三级以上（含三级）资质，同时具有合格有效的安全生产许可证；拟派项目经理须具备市政公用工程专业二级以上（含二级）注册建造师证书和有效的安全生产考核证书（B证），在本单位注册，提供无在建工程承诺书；</w:t>
      </w:r>
    </w:p>
    <w:p>
      <w:pPr>
        <w:pStyle w:val="null3"/>
      </w:pPr>
      <w:r>
        <w:rPr>
          <w:rFonts w:ascii="仿宋_GB2312" w:hAnsi="仿宋_GB2312" w:cs="仿宋_GB2312" w:eastAsia="仿宋_GB2312"/>
        </w:rPr>
        <w:t>4、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5、社会保障资金缴纳证明：提供截止至开标时间前六个月内任意一个月的社保缴纳凭据或社保机构开具的社会保险参保缴纳情况证明；（依法不需要缴纳社会保障资金的供应商应提供相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6、税收缴纳证明：提供截止至开标时间前六个月内任意一个月的缴纳凭据；（增值税、企业所得税至少提供一种，依法免税的供应商应提供相关文件证明）：税收缴纳证明：提供截止至开标时间前六个月内任意一个月的缴纳凭据；（增值税、企业所得税至少提供一种，依法免税的供应商应提供相关文件证明）</w:t>
      </w:r>
    </w:p>
    <w:p>
      <w:pPr>
        <w:pStyle w:val="null3"/>
      </w:pPr>
      <w:r>
        <w:rPr>
          <w:rFonts w:ascii="仿宋_GB2312" w:hAnsi="仿宋_GB2312" w:cs="仿宋_GB2312" w:eastAsia="仿宋_GB2312"/>
        </w:rPr>
        <w:t>7、提供具有履行本合同所必需的设备和专业技术能力的说明及承诺；（提供书面说明及承诺，加盖供应商公章）：提供具有履行本合同所必需的设备和专业技术能力的说明及承诺；（提供书面说明及承诺，加盖供应商公章）</w:t>
      </w:r>
    </w:p>
    <w:p>
      <w:pPr>
        <w:pStyle w:val="null3"/>
      </w:pPr>
      <w:r>
        <w:rPr>
          <w:rFonts w:ascii="仿宋_GB2312" w:hAnsi="仿宋_GB2312" w:cs="仿宋_GB2312" w:eastAsia="仿宋_GB2312"/>
        </w:rPr>
        <w:t>8、提供参加政府采购活动前三年内在经营活动中没有重大违法记录的书面声明。（提供书面声明，加盖供应商公章）：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9、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 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三原县城乡管理执法局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咸阳市三原县人行大街中段环卫队院内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三原县城乡市容环境管理局经办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029-32280085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葛晓辉（11号工位）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029-86673953、086518381、89299829、89293231转811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采购包1：2,647,614.38元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三原县城乡管理执法局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三原县城乡管理执法局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三原县城乡管理执法局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联系人：葛晓辉（11号工位）</w:t>
      </w:r>
    </w:p>
    <w:p>
      <w:pPr>
        <w:pStyle w:val="null3"/>
      </w:pPr>
      <w:r>
        <w:rPr>
          <w:rFonts w:ascii="仿宋_GB2312" w:hAnsi="仿宋_GB2312" w:cs="仿宋_GB2312" w:eastAsia="仿宋_GB2312"/>
        </w:rPr>
        <w:t>联系电话：029-86673953、029-86518381、029-89299829、029-89293231转811</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2,647,614.38</w:t>
      </w:r>
    </w:p>
    <w:p>
      <w:pPr>
        <w:pStyle w:val="null3"/>
      </w:pPr>
      <w:r>
        <w:rPr>
          <w:rFonts w:ascii="仿宋_GB2312" w:hAnsi="仿宋_GB2312" w:cs="仿宋_GB2312" w:eastAsia="仿宋_GB2312"/>
        </w:rPr>
        <w:t>采购包最高限价（元）: 2,647,614.38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通信管道维修及线缆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2,647,614.38</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标的名称：通信管道维修及线缆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1.验收流程 1.1项目在竣工后，成交人应向采购人提交工程竣工报告，申请工程竣工验收，并将施工过程中相关资料提交采购人。1.2采购人收到工程竣工报告后，对符合竣工验收要求的工程，组织相关单位和其他有关方面的专家组成验收组共同验收，签署的工程竣工验收意见。1.3验收合格后，采购人出具《工程竣工验收报告》，并在建设行政主管部门备案。1.4验收不合格的成交单位，必须在接到通知后7个日历日内确保工程通过验收。如接到通知后7个日历日内验收仍不合格，采购人可提出索赔或取消其施工合同。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后60个日历日内施工完毕。2、运输、施工：成交人负责材料的运输、施工及其他伴随服务。3、施工要求：3.1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3.2成交人应配合项目建设进度,向采购人提供施工组织计划、进度计划和施工作业计划，并签订施工安全责任书。3.3采购人只提供电源、水源。成交人在施工期间不得破坏原有建筑。4、质量保证：4.1工程质保期符合文件要求及国家标准要求。成交人承诺的质保时间超过国家标准要求的，按其承诺时间质保。成交人承诺的质保期起始时间为终验合格之日。4.2工程质量等级达到合格或以上标准。4.3成交人应遵照国家规范规定的建筑工程施工质量标准及要求作出明确承诺。4.4在质量保证期内，成交人应具有良好、迅速的售后服务能力。5、合同实施：5.1.成交人应在合同签订后，依据采购人提供的平面布置图，向采购人提交项目图纸，审核合格后方可施工。5.2.图纸审核通过后7个日历日内安排人员（项目组成人员简历表所列）就施工工作等进行安排、部署。5.3.若因成交人原因未能在规定工期内完成合同规定的义务，由此对采购人造成的延误和一切损失，由成交人承担和赔偿。6、违约责任：6.1按《中华人民共和国民法典》中的相关条款执行。6.2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装订：纸质竞争性磋商响应文件采用书籍（胶装）方式装订成册，与电子版文件一致的签字、盖章的完整版本，编制书脊（注明项目名称、项目编号）。2、本项目采购标的对应的中小企业划分标准所属行业为（建筑业）。3、付款条件说明：合同签订施工人员、机械进场后，支付合同价款的30%，工程竣工验收结算审计后，支付至合同价款的97%，剩余尾款，自终验合格之日起一年后，支付剩余款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建设行政主管部门颁发的市政公用工程施工总承包三级以上（含三级）资质，同时具有合格有效的安全生产许可证；拟派项目经理须具备市政公用工程专业二级以上（含二级）注册建造师证书和有效的安全生产考核证书（B证），在本单位注册，提供无在建工程承诺书</w:t>
            </w:r>
          </w:p>
        </w:tc>
        <w:tc>
          <w:tcPr>
            <w:tcW w:type="dxa" w:w="3322"/>
          </w:tcPr>
          <w:p>
            <w:pPr>
              <w:pStyle w:val="null3"/>
            </w:pPr>
            <w:r>
              <w:rPr>
                <w:rFonts w:ascii="仿宋_GB2312" w:hAnsi="仿宋_GB2312" w:cs="仿宋_GB2312" w:eastAsia="仿宋_GB2312"/>
              </w:rPr>
              <w:t>具有建设行政主管部门颁发的市政公用工程施工总承包三级以上（含三级）资质，同时具有合格有效的安全生产许可证；拟派项目经理须具备市政公用工程专业二级以上（含二级）注册建造师证书和有效的安全生产考核证书（B证），在本单位注册，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税收缴纳证明：提供截止至开标时间前六个月内任意一个月的缴纳凭据；（增值税、企业所得税至少提供一种，依法免税的供应商应提供相关文件证明）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 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技术响应.docx 业绩.docx 已标价工程量清单 中小企业声明函 服务承诺.docx 供应商应提交的相关资格证明材料 承诺书.docx 响应偏离表.docx 资格证明文件.docx 法定代表人授权书.docx 响应文件封面 《拒绝政府采购领域商业贿赂承诺书》.docx 残疾人福利性单位声明函 供应商参与政府采购活动的承诺函.docx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投标文件中提供的企业及人员资质证书等材料须在合同签订及履行期间持续有效，否则应在投标文件中提供一份承诺书，承诺到期前完成续期并向采购人提供新的材料。</w:t>
            </w:r>
          </w:p>
        </w:tc>
        <w:tc>
          <w:tcPr>
            <w:tcW w:type="dxa" w:w="3322"/>
          </w:tcPr>
          <w:p>
            <w:pPr>
              <w:pStyle w:val="null3"/>
            </w:pPr>
            <w:r>
              <w:rPr>
                <w:rFonts w:ascii="仿宋_GB2312" w:hAnsi="仿宋_GB2312" w:cs="仿宋_GB2312" w:eastAsia="仿宋_GB2312"/>
              </w:rPr>
              <w:t>投标文件中提供的企业及人员资质证书等材料须在合同签订及履行期间持续有效，否则应在投标文件中提供一份承诺书，承诺到期前完成续期并向采购人提供新的材料。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技术响应.docx 业绩.docx 已标价工程量清单 中小企业声明函 服务承诺.docx 供应商应提交的相关资格证明材料 承诺书.docx 响应偏离表.docx 资格证明文件.docx 法定代表人授权书.docx 响应文件封面 《拒绝政府采购领域商业贿赂承诺书》.docx 残疾人福利性单位声明函 供应商参与政府采购活动的承诺函.docx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技术响应.docx 业绩.docx 已标价工程量清单 中小企业声明函 服务承诺.docx 供应商应提交的相关资格证明材料 承诺书.docx 响应偏离表.docx 资格证明文件.docx 法定代表人授权书.docx 响应文件封面 《拒绝政府采购领域商业贿赂承诺书》.docx 残疾人福利性单位声明函 供应商参与政府采购活动的承诺函.docx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技术响应.docx 业绩.docx 已标价工程量清单 中小企业声明函 服务承诺.docx 供应商应提交的相关资格证明材料 承诺书.docx 响应偏离表.docx 资格证明文件.docx 法定代表人授权书.docx 响应文件封面 《拒绝政府采购领域商业贿赂承诺书》.docx 残疾人福利性单位声明函 供应商参与政府采购活动的承诺函.docx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磋商响应文件对质保期、付款方式、验收等商务要求进行详细说明，完全响应磋商文件的计1分，工期优于磋商文件的，每优于一个日历日的加0.1分，最多加1分。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 ①内容完整全面详细，且各项制度、措施等合理具体，内容能够紧扣项目实际情况，条理清晰的计6分； ②内容完整，但条理不清晰、措施不具体或无紧扣项目实际情况的计4分； ③内容缺1项的计2分； ④内容缺2项及以上缺项或内容粗略、逻辑混乱、出现常识性错误、存在不可能实现的夸大情形的计1分；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污染物及废弃物处理的排放、噪音控制、防尘及扬尘的控制措施。 评审标准 ①内容完整全面详细、合理具体，内容能够紧扣项目实际情况，条理清晰的计6分； ②内容完整，但条理不清晰、措施不具体或无紧扣项目实际情况的计4分； ③内容缺1项的计2分； ④内容缺2项及以上缺项或内容粗略、逻辑混乱、出现常识性错误、存在不可能实现的夸大情形的计1分；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 ①内容完整全面详细、合理具体，内容能够紧扣项目实际情况，条理清晰的计6分； ②内容完整，但条理不清晰、措施不具体或无紧扣项目实际情况的计4分； ③内容缺1项的计2分； ④内容缺2项及以上缺项或内容粗略、逻辑混乱、出现常识性错误、存在不可能实现的夸大情形的计1分；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供应商针对本项目编制完善的工期的技术组织措施，内容包含但不限于：施工组织与工期保证措施、特殊情况保证：夜间、雨季、高温等情况。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 ①内容科学全面，详细、具体的计10分； ②内容完整，但仅对部分内容进行详细描述的计7分； ③仅有框架或内容条理不清晰、混乱的计5分； ④内容缺一项或内容与项目无关的计3分； ⑤内容简单或内容欠缺2项及以上的计1分； ⑥未提供本项不计分。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 评审标准 ①内容完整全面详细、合理具体，内容能够紧扣项目实际情况，条理清晰的计6分； ②内容完整，但条理不清晰、计划不具体或无紧扣项目实际情况的计4分；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 评审标准 ①内容完整全面详细、合理具体，内容能够紧扣项目实际情况，条理清晰的计6分； ②内容完整，但条理不清晰、人员结果不具体或无紧扣项目实际情况的计4分；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以合同形式提供供应商2022年01月至今类似项目业绩，每份计1分，计满4分为止。（以合同签订时间为准，附合同复印件）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已标价工程量清单 中小企业声明函 残疾人福利性单位声明函 报价函 标的清单 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详见附件：供应商参与政府采购活动的承诺函.docx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