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版本号：SXLZ-2025-14820250718001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三原县嵯峨镇美丽乡村道路提升改造工程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SXLZ-2025-148</w:t>
      </w:r>
      <w:r>
        <w:br/>
      </w:r>
      <w:r>
        <w:br/>
      </w:r>
      <w:r>
        <w:br/>
      </w:r>
    </w:p>
    <w:p>
      <w:pPr>
        <w:pStyle w:val="null3"/>
        <w:jc w:val="center"/>
        <w:outlineLvl w:val="2"/>
      </w:pPr>
      <w:r>
        <w:rPr>
          <w:rFonts w:ascii="仿宋_GB2312" w:hAnsi="仿宋_GB2312" w:cs="仿宋_GB2312" w:eastAsia="仿宋_GB2312"/>
          <w:sz w:val="28"/>
          <w:b/>
        </w:rPr>
        <w:t>三原县嵯峨镇人民政府</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三原县嵯峨镇人民政府</w:t>
      </w:r>
      <w:r>
        <w:rPr>
          <w:rFonts w:ascii="仿宋_GB2312" w:hAnsi="仿宋_GB2312" w:cs="仿宋_GB2312" w:eastAsia="仿宋_GB2312"/>
        </w:rPr>
        <w:t>委托，拟对</w:t>
      </w:r>
      <w:r>
        <w:rPr>
          <w:rFonts w:ascii="仿宋_GB2312" w:hAnsi="仿宋_GB2312" w:cs="仿宋_GB2312" w:eastAsia="仿宋_GB2312"/>
        </w:rPr>
        <w:t>三原县嵯峨镇美丽乡村道路提升改造工程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三原县嵯峨镇美丽乡村道路提升改造工程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本工程主要实施内容为：镇村主干路面铣刨、沥青铺设、道路两侧立面改造、贴石、建设花园挡墙以及排水渠整修等。详见工程量清单。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采购包1（三原县嵯峨镇美丽乡村道路提升改造工程）：属于专门面向中小企业采购。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1、拟派项目负责人资质和专业要求。：证书等级：二级（含）及以上注册建造师资格 专业：市政公用工程 补充说明：具有主管部门颁发的安全生产考核合格证，在本单位注册且无在建工程（提供无在建工程承诺书）。</w:t>
      </w:r>
    </w:p>
    <w:p>
      <w:pPr>
        <w:pStyle w:val="null3"/>
      </w:pPr>
      <w:r>
        <w:rPr>
          <w:rFonts w:ascii="仿宋_GB2312" w:hAnsi="仿宋_GB2312" w:cs="仿宋_GB2312" w:eastAsia="仿宋_GB2312"/>
        </w:rPr>
        <w:t>2、供应商资质要求：供应商须具备行政部门核发的市政公用工程施工总承包三级（含）及以上资质，并且具有有效的安全生产许可证。</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4、书面声明：具备履行合同所必须的设备和专业技术能力的书面声明。</w:t>
      </w:r>
    </w:p>
    <w:p>
      <w:pPr>
        <w:pStyle w:val="null3"/>
      </w:pPr>
      <w:r>
        <w:rPr>
          <w:rFonts w:ascii="仿宋_GB2312" w:hAnsi="仿宋_GB2312" w:cs="仿宋_GB2312" w:eastAsia="仿宋_GB2312"/>
        </w:rPr>
        <w:t>5、无重大违法记录声明：参加政府采购活动前三年内，在经营活动中没有重大违法记录的书面声明。</w:t>
      </w:r>
    </w:p>
    <w:p>
      <w:pPr>
        <w:pStyle w:val="null3"/>
      </w:pPr>
      <w:r>
        <w:rPr>
          <w:rFonts w:ascii="仿宋_GB2312" w:hAnsi="仿宋_GB2312" w:cs="仿宋_GB2312" w:eastAsia="仿宋_GB2312"/>
        </w:rPr>
        <w:t>6、授权委托：法定代表人授权书（附法定代表人及被授权人身份证复印件）或法人证明书（法定代表人直接参加投标只需附身份证）。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三原县嵯峨镇人民政府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陕西省咸阳市三原县嵯峨镇杨杜村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耿继祥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15619046017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采购包1：3,504,995.81元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代理服务费收费标准：根据成交金额，参照国家计委2002年颁发的《招标代理服务收费管理暂行办法》(计价格〔2002〕1980号)及《调整后的招标代理服务收费标准》(发改价格〔2011〕534号)的规定计取。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三原县嵯峨镇人民政府</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三原县嵯峨镇人民政府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三原县嵯峨镇人民政府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按照相关施工标准和验收标准严格验收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地址：陕西省西安市国家民用航天产业基地神舟五路与东长安街交汇处东南角航天城中心广场1号楼708</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3,504,995.81</w:t>
      </w:r>
    </w:p>
    <w:p>
      <w:pPr>
        <w:pStyle w:val="null3"/>
      </w:pPr>
      <w:r>
        <w:rPr>
          <w:rFonts w:ascii="仿宋_GB2312" w:hAnsi="仿宋_GB2312" w:cs="仿宋_GB2312" w:eastAsia="仿宋_GB2312"/>
        </w:rPr>
        <w:t>采购包最高限价（元）: 3,504,995.81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路面铣刨、沥青铺设、道路两侧立面改造、贴石、建设花园挡墙以及排水渠整修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3,504,995.81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标的名称：路面铣刨、沥青铺设、道路两侧立面改造、贴石、建设花园挡墙以及排水渠整修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本工程主要建设内容包括：镇村主干路面铣刨、沥青铺设、道路两侧立面改造、贴石、建设花园挡墙以及排水渠整修等。具体内容详见工程量清单。</w:t>
            </w:r>
          </w:p>
          <w:p>
            <w:pPr>
              <w:pStyle w:val="null3"/>
            </w:pPr>
            <w:r>
              <w:rPr>
                <w:rFonts w:ascii="仿宋_GB2312" w:hAnsi="仿宋_GB2312" w:cs="仿宋_GB2312" w:eastAsia="仿宋_GB2312"/>
                <w:b/>
              </w:rPr>
              <w:t>二、工程内容和施工地点、计划工期等</w:t>
            </w:r>
          </w:p>
          <w:p>
            <w:pPr>
              <w:pStyle w:val="null3"/>
            </w:pPr>
            <w:r>
              <w:rPr>
                <w:rFonts w:ascii="仿宋_GB2312" w:hAnsi="仿宋_GB2312" w:cs="仿宋_GB2312" w:eastAsia="仿宋_GB2312"/>
              </w:rPr>
              <w:t>工程内容：工程量清单包含所有内容。</w:t>
            </w:r>
          </w:p>
          <w:p>
            <w:pPr>
              <w:pStyle w:val="null3"/>
            </w:pPr>
            <w:r>
              <w:rPr>
                <w:rFonts w:ascii="仿宋_GB2312" w:hAnsi="仿宋_GB2312" w:cs="仿宋_GB2312" w:eastAsia="仿宋_GB2312"/>
              </w:rPr>
              <w:t>工程地点：位于嵯峨镇杨杜村。</w:t>
            </w:r>
          </w:p>
          <w:p>
            <w:pPr>
              <w:pStyle w:val="null3"/>
            </w:pPr>
            <w:r>
              <w:rPr>
                <w:rFonts w:ascii="仿宋_GB2312" w:hAnsi="仿宋_GB2312" w:cs="仿宋_GB2312" w:eastAsia="仿宋_GB2312"/>
              </w:rPr>
              <w:t>计划工期：60日历天。</w:t>
            </w:r>
          </w:p>
          <w:p>
            <w:pPr>
              <w:pStyle w:val="null3"/>
            </w:pPr>
            <w:r>
              <w:rPr>
                <w:rFonts w:ascii="仿宋_GB2312" w:hAnsi="仿宋_GB2312" w:cs="仿宋_GB2312" w:eastAsia="仿宋_GB2312"/>
              </w:rPr>
              <w:t>工程质量：合格。</w:t>
            </w:r>
          </w:p>
          <w:p>
            <w:pPr>
              <w:pStyle w:val="null3"/>
            </w:pPr>
            <w:r>
              <w:rPr>
                <w:rFonts w:ascii="仿宋_GB2312" w:hAnsi="仿宋_GB2312" w:cs="仿宋_GB2312" w:eastAsia="仿宋_GB2312"/>
                <w:b/>
              </w:rPr>
              <w:t>三、付款方式及条件</w:t>
            </w:r>
          </w:p>
          <w:p>
            <w:pPr>
              <w:pStyle w:val="null3"/>
            </w:pPr>
            <w:r>
              <w:rPr>
                <w:rFonts w:ascii="仿宋_GB2312" w:hAnsi="仿宋_GB2312" w:cs="仿宋_GB2312" w:eastAsia="仿宋_GB2312"/>
              </w:rPr>
              <w:t>付款方式：银行转账；</w:t>
            </w:r>
          </w:p>
          <w:p>
            <w:pPr>
              <w:pStyle w:val="null3"/>
            </w:pPr>
            <w:r>
              <w:rPr>
                <w:rFonts w:ascii="仿宋_GB2312" w:hAnsi="仿宋_GB2312" w:cs="仿宋_GB2312" w:eastAsia="仿宋_GB2312"/>
              </w:rPr>
              <w:t>付款条件：合同签订后支付合同总额30%，验收完成后支付合同总额65%，剩余5%作为质保证，质保期满后全额支付。</w:t>
            </w:r>
          </w:p>
          <w:p>
            <w:pPr>
              <w:pStyle w:val="null3"/>
            </w:pPr>
            <w:r>
              <w:rPr>
                <w:rFonts w:ascii="仿宋_GB2312" w:hAnsi="仿宋_GB2312" w:cs="仿宋_GB2312" w:eastAsia="仿宋_GB2312"/>
                <w:b/>
              </w:rPr>
              <w:t>四、验收及交付标准和方法</w:t>
            </w:r>
          </w:p>
          <w:p>
            <w:pPr>
              <w:pStyle w:val="null3"/>
            </w:pPr>
            <w:r>
              <w:rPr>
                <w:rFonts w:ascii="仿宋_GB2312" w:hAnsi="仿宋_GB2312" w:cs="仿宋_GB2312" w:eastAsia="仿宋_GB2312"/>
              </w:rPr>
              <w:t>本项目验收以项目招标文件、合同书、需求设计和相关政策法规等作为验收依据。</w:t>
            </w:r>
          </w:p>
          <w:p>
            <w:pPr>
              <w:pStyle w:val="null3"/>
            </w:pPr>
            <w:r>
              <w:rPr>
                <w:rFonts w:ascii="仿宋_GB2312" w:hAnsi="仿宋_GB2312" w:cs="仿宋_GB2312" w:eastAsia="仿宋_GB2312"/>
                <w:b/>
              </w:rPr>
              <w:t>五、售后服务要求</w:t>
            </w:r>
          </w:p>
          <w:p>
            <w:pPr>
              <w:pStyle w:val="null3"/>
              <w:jc w:val="both"/>
            </w:pPr>
            <w:r>
              <w:rPr>
                <w:rFonts w:ascii="仿宋_GB2312" w:hAnsi="仿宋_GB2312" w:cs="仿宋_GB2312" w:eastAsia="仿宋_GB2312"/>
              </w:rPr>
              <w:t>确保各类建筑、设施、管道安装合规，符合相关要求，一年内不得出现质量问题。</w:t>
            </w:r>
          </w:p>
          <w:p>
            <w:pPr>
              <w:pStyle w:val="null3"/>
              <w:jc w:val="both"/>
            </w:pPr>
            <w:r>
              <w:rPr>
                <w:rFonts w:ascii="仿宋_GB2312" w:hAnsi="仿宋_GB2312" w:cs="仿宋_GB2312" w:eastAsia="仿宋_GB2312"/>
                <w:b/>
              </w:rPr>
              <w:t>六、其他说明</w:t>
            </w:r>
          </w:p>
          <w:p>
            <w:pPr>
              <w:pStyle w:val="null3"/>
              <w:jc w:val="both"/>
            </w:pPr>
            <w:r>
              <w:rPr>
                <w:rFonts w:ascii="仿宋_GB2312" w:hAnsi="仿宋_GB2312" w:cs="仿宋_GB2312" w:eastAsia="仿宋_GB2312"/>
              </w:rPr>
              <w:t>在施工期间，成交供应商必须注意人员安全，加强安全措施，对施工人员进行安全教育，并健全安全管理制度和加强教育培训。施工人员必须持证上岗。要求成交供应商在施工中做到封闭性施工。承诺明确安全责任，承诺文明施工，承诺自觉遵守采购人的管理规定</w:t>
            </w:r>
          </w:p>
          <w:p>
            <w:pPr>
              <w:pStyle w:val="null3"/>
            </w:pPr>
            <w:r>
              <w:rPr>
                <w:rFonts w:ascii="仿宋_GB2312" w:hAnsi="仿宋_GB2312" w:cs="仿宋_GB2312" w:eastAsia="仿宋_GB2312"/>
                <w:b/>
              </w:rPr>
              <w:t>七、违约责任与解决争议的方法</w:t>
            </w:r>
          </w:p>
          <w:p>
            <w:pPr>
              <w:pStyle w:val="null3"/>
            </w:pPr>
            <w:r>
              <w:rPr>
                <w:rFonts w:ascii="仿宋_GB2312" w:hAnsi="仿宋_GB2312" w:cs="仿宋_GB2312" w:eastAsia="仿宋_GB2312"/>
              </w:rPr>
              <w:t>合同发生争议的，当事人双方协商解决，协商达不成一致时，可向当地法院提请诉讼。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满足国家及行业的相关规定。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一、工程量清单编制依据 1、嵯峨镇美丽乡村道路提升改造工程； 2、《陕西省建设工程工程量清单计价规则》（2009）、《陕西省建筑、装饰、安装工程消耗量定额》（2004）、《陕西省建筑、装饰、安装工程参考价目表》（2009）及相配套的计价费率； 3、《陕西省建设工程工程量清单计价规则》(2009)、《陕西省建筑装饰工程消耗量定额》（2004）、《陕西省安装工程消耗量定额》（2004）、《陕西省市政、园林绿化工程消耗量定额》（2004）、《陕西省市政、园林绿化工程参考价目表》（2009）、《陕西省建设工程消耗量定额（2004）补充定额》（2009）、《陕西省建设工程工程量清单计价费率》（2009）； 4、陕建发[2017]270号《关于增加建设工程扬尘治理专项措施费及综合人工单价调整的通知》； 5、陕建发[2019]45号《关于调整陕西省建设工程计价依据》的通知； 6、陕建发[2021]1097号《关于调整房屋建筑和市政基础设施工程工程量清单计价综合人工单价》的通知； 7、陕建发[2019]1246号《关于陕西省落实建筑工人实名制管理计价依据》的通知； 8、陕建发[2020]1097号《关于建筑施工安全生产责任保险费用计价》的通知； 9、咸阳市2025年第三期信息价，绿化苗木等其他信息价没有的价格遵循市场价询价原则； 二、编制说明 1、工程量清单报价采用综合单价计价。工程量清单是工程项目的简单叙述，所有仅供工程项目特征仅表达了主要工程做法； 2、工程量清单所列工程量数量是设计的预计数量，仅作为投标的共同基础，不作为最终结算和支付的依据。实际支付应按实际完成的工程量，由承包人按技术规范规定的计量方法，以监理工程师和业主认可的尺寸、断面进行计量； 3、本清单除上述内容，没有列的项目视为已包含在其他清单项目中，投标单位在得到招标文件后，应仔细阅读招标文件、清单等内容，发现问题及时提出，没有提出视为已分摊在本工程的有关清单的单价或总价，如无变更或洽商，不再另行增加项目； 4、工程量清单报价表中所有要求签字、盖章的地方，必须由规定单位和人员签字、盖章； 5、投标单位在投标报价时，应依据本工程施工图及答疑、相关图集、现行有关规范、 规程，结合招标文件、有关合同条款以及市场价格情况等进行自主报价； 6、投标单位在投标报价时，应充分考虑本工程自进场开始施工至竣工验收合格并移交建设单位期间，为保证工程施工和管护所发生的各项费用，包括移交前的成品保护、管护等费用； 7、工程量清单报价表中任何内容不得随意增加、删除或涂改； 8、材料规格、种类需严格按照设计施工图施工，不得更换； 9、措施项目费投标单位应根据本单位的施工组织设计，在措施清单项目后增加措施清单项目，增列项目包含解决施工用水水源费用、解决施工用电电源费用和围挡等以及完成本工程所需要的全部措施费用； 10、余方弃置，投标单位应考虑包括开挖、装车、运输、弃置、 掩埋、垃圾消纳等在内的所有工作内容，自主报价； 三、有关问题说明 1、本工程所用混凝土均采用商品混凝土； 2、咸阳市2025年第三期信息价； 3、信息价没有的遵循市场询价等原则； 4、绿化养护期为1年； 工程量清单编制采用广联达 GCCP6.0（版本号：6.4100.23.122）。</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供应商资格证明相关资料.docx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供应商资格证明相关资料.docx 采购需求偏离表.docx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证书等级：二级（含）及以上注册建造师资格 专业：市政公用工程 补充说明：具有主管部门颁发的安全生产考核合格证，在本单位注册且无在建工程（提供无在建工程承诺书）。</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供应商须具备行政部门核发的市政公用工程施工总承包三级（含）及以上资质，并且具有有效的安全生产许可证。</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法定代表人授权书（附法定代表人及被授权人身份证复印件）或法人证明书（法定代表人直接参加投标只需附身份证）。</w:t>
            </w:r>
          </w:p>
        </w:tc>
        <w:tc>
          <w:tcPr>
            <w:tcW w:type="dxa" w:w="1661"/>
          </w:tcPr>
          <w:p>
            <w:pPr>
              <w:pStyle w:val="null3"/>
            </w:pPr>
            <w:r>
              <w:rPr>
                <w:rFonts w:ascii="仿宋_GB2312" w:hAnsi="仿宋_GB2312" w:cs="仿宋_GB2312" w:eastAsia="仿宋_GB2312"/>
              </w:rPr>
              <w:t>供应商资格证明相关资料.docx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已标价工程量清单 供应商资格证明相关资料.docx 报价函 标的清单 采购需求偏离表.docx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满足本磋商文件中的实质性条款（工期、工程质量、建设地点）要求的。</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方案合理、技术措施得当计[4-7]分；方案基本合理、技术措施一般计[0-3.9]分，此项共计7分。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确保工程质量的技术组织措施：质量管理体系完善，技术组织措施合理、可行计[4-7]分；质量管理体系较完善、技术组织措施一般，不够明确计[0-3.9]分，此项共计7分。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确保安全生产的技术组织措施：安全管理体系健全，保证措施合理、可行计[4-7]分；安全管理体系较健全，保障措施一般计[0-3.9]分,此项共计7分。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文明施工、环境保护措施、施工现场扬尘污染防治措施：各项措施合理、保障有力计[3-6]分；各项措施一般计[0-2.9]分,此项共计6分。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具有明确的施工进度表，进度计划合理、保证措施有力计[4-7]分；施工进度计划不清晰、措施一般计[0-3.9]分,此项共计7分。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施工现场机械配备和材料投入计划合理，符合施工实际需求计[4-7]分；施工机械配备和材料投入计划一般，基本符合施工实际需求的计[0-3.9]分,此项共计7分。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项目组织管理机构人员配置齐全（项目经理、技术负责人、施工人员等），各专业配备合理、分工及岗位职责清晰计[4-6]分；人员配置一般，分工基本明确，职责不够清晰计[0-3.9]分,此项共计6分。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关系协调方案和保证措施</w:t>
            </w:r>
          </w:p>
        </w:tc>
        <w:tc>
          <w:tcPr>
            <w:tcW w:type="dxa" w:w="2492"/>
          </w:tcPr>
          <w:p>
            <w:pPr>
              <w:pStyle w:val="null3"/>
            </w:pPr>
            <w:r>
              <w:rPr>
                <w:rFonts w:ascii="仿宋_GB2312" w:hAnsi="仿宋_GB2312" w:cs="仿宋_GB2312" w:eastAsia="仿宋_GB2312"/>
              </w:rPr>
              <w:t>项目实施过程中周边关系协调方案和保证措施合理，可行性高计[4-6]分，方案一般、措施不完备计[0-3.9]分,此项共计6分。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各项建议合理、可行，方法得当计[4-6]分；合理化建议可行性一般、方法较少计[0-3.9]分,此项共计6分。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针对本项目编制突发事件的应急措施和解决方案，依照方案编制情况计[0-5]分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供应商2021年1月1日至磋商截止日期前，具有类似工程项目业绩，提供一份得2分，此项共计6分，业绩评审以合同或中标通知书为依据。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2.满足招标文件实质性要求且最终报价最低的供应商的价格为投标基准价，其价格分为满分30 分。 3.投标报价得分=（投标基准价/投标报价）×30的公式计算得分。 4.投标报价不完整的，不进入评标标准价的计算，本项得0分。 5.经评委一致认定，供应商的投标最终总报价低于公认市场成本，或超过采购预算,其投标将被拒绝。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详见附件：施工组织设计方案.docx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详见附件：供应商资格证明相关资料.docx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