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版本号：SDZC2025-13820250721002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新兴镇塔凹村乡村振兴示范村建设项目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SDZC2025-138</w:t>
      </w:r>
      <w:r>
        <w:br/>
      </w:r>
      <w:r>
        <w:br/>
      </w:r>
      <w:r>
        <w:br/>
      </w:r>
    </w:p>
    <w:p>
      <w:pPr>
        <w:pStyle w:val="null3"/>
        <w:jc w:val="center"/>
        <w:outlineLvl w:val="2"/>
      </w:pPr>
      <w:r>
        <w:rPr>
          <w:rFonts w:ascii="仿宋_GB2312" w:hAnsi="仿宋_GB2312" w:cs="仿宋_GB2312" w:eastAsia="仿宋_GB2312"/>
          <w:sz w:val="28"/>
          <w:b/>
        </w:rPr>
        <w:t>三原县新兴镇人民政府</w:t>
      </w:r>
    </w:p>
    <w:p>
      <w:pPr>
        <w:pStyle w:val="null3"/>
        <w:jc w:val="center"/>
        <w:outlineLvl w:val="2"/>
      </w:pPr>
      <w:r>
        <w:rPr>
          <w:rFonts w:ascii="仿宋_GB2312" w:hAnsi="仿宋_GB2312" w:cs="仿宋_GB2312" w:eastAsia="仿宋_GB2312"/>
          <w:sz w:val="28"/>
          <w:b/>
        </w:rPr>
        <w:t>陕西上德招标有限公司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三原县新兴镇人民政府</w:t>
      </w:r>
      <w:r>
        <w:rPr>
          <w:rFonts w:ascii="仿宋_GB2312" w:hAnsi="仿宋_GB2312" w:cs="仿宋_GB2312" w:eastAsia="仿宋_GB2312"/>
        </w:rPr>
        <w:t>委托，拟对</w:t>
      </w:r>
      <w:r>
        <w:rPr>
          <w:rFonts w:ascii="仿宋_GB2312" w:hAnsi="仿宋_GB2312" w:cs="仿宋_GB2312" w:eastAsia="仿宋_GB2312"/>
        </w:rPr>
        <w:t>新兴镇塔凹村乡村振兴示范村建设项目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SDZC2025-138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新兴镇塔凹村乡村振兴示范村建设项目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村委会阵地提升及立面改造、建设群众文化广场、铺设排水管网、安装路灯、修复破损道路并铺设沥青及其他配套设施提升。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采购包1（新兴镇塔凹村乡村振兴示范村建设项目）：属于专门面向中小企业采购。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1、提供供应商合法注册的法人或其他组织的营业执照等证明文件或自然人的身份证明：提供供应商合法注册的法人或其他组织的营业执照等证明文件或自然人的身份证明；</w:t>
      </w:r>
    </w:p>
    <w:p>
      <w:pPr>
        <w:pStyle w:val="null3"/>
      </w:pPr>
      <w:r>
        <w:rPr>
          <w:rFonts w:ascii="仿宋_GB2312" w:hAnsi="仿宋_GB2312" w:cs="仿宋_GB2312" w:eastAsia="仿宋_GB2312"/>
        </w:rPr>
        <w:t>2、财务状况报告：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3、税收缴纳证明：税收缴纳证明：提供截止至开标时间前一年内任意一个月的税收缴纳凭据（增值税、企业所得税至少提供一种，依法免税的供应商应提供相关文件证明）；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5、提供具有履行本合同所必需的设备和专业技术能力的说明及承诺：提供具有履行本合同所必需的设备和专业技术能力的说明及承诺（提供书面说明及承诺，加盖供应商公章）；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投标文件格式）；</w:t>
      </w:r>
    </w:p>
    <w:p>
      <w:pPr>
        <w:pStyle w:val="null3"/>
      </w:pPr>
      <w:r>
        <w:rPr>
          <w:rFonts w:ascii="仿宋_GB2312" w:hAnsi="仿宋_GB2312" w:cs="仿宋_GB2312" w:eastAsia="仿宋_GB2312"/>
        </w:rPr>
        <w:t>8、企业资质：具备建设行政主管部门颁发的市政公用工程施工总承包三级（含三级）以上资质, 同时具有合格有效的安全生产许可证；</w:t>
      </w:r>
    </w:p>
    <w:p>
      <w:pPr>
        <w:pStyle w:val="null3"/>
      </w:pPr>
      <w:r>
        <w:rPr>
          <w:rFonts w:ascii="仿宋_GB2312" w:hAnsi="仿宋_GB2312" w:cs="仿宋_GB2312" w:eastAsia="仿宋_GB2312"/>
        </w:rPr>
        <w:t>9、拟派项目负责人资质和专业要求：证书等级：二级或以上注册建造师资质 专业：市政公用工程专业 补充说明：拟派项目经理须具备市政公用工程专业二级或以上注册建造师资质并具有有效的安全生产考核合格证（B证），在本单位注册且无在建工程、无不良记录；（提供无在建工程、无不良记录承诺书）</w:t>
      </w:r>
    </w:p>
    <w:p>
      <w:pPr>
        <w:pStyle w:val="null3"/>
      </w:pPr>
      <w:r>
        <w:rPr>
          <w:rFonts w:ascii="仿宋_GB2312" w:hAnsi="仿宋_GB2312" w:cs="仿宋_GB2312" w:eastAsia="仿宋_GB2312"/>
        </w:rPr>
        <w:t>10、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磋商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11、控股关系查询：单位负责人为同一人或者存在直接控股、管理关系的不同供应商，不得参加同一合同项下的政府采购活动（根据财库【2019】38号文规定，此项在磋商截止日当天在“国家企业信用信息公示系统”进行查询，截图留档；如网站无供应商信息的，供应商须提供相关证明资料或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三原县新兴镇人民政府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咸阳市三原县新兴镇新兴中学东侧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三原县新兴镇人民政府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13991049933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西安市经开区凤城八路正尚国际金融广场A座7层703（张家堡转盘东南角）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郅龙（8号工位）、姚文霄</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029-86673953/86518381/89299829/89293231转808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李强</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32269233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采购包1：3,103,417.58元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服务费收费标准参照原《国家计委关于印发&lt;招标代理服务收费管理暂行办法&gt;的通知》(计价格〔2002〕1980号)、《国家发展改革委关于降低部分建设项目收费标准规范收费行为等有关问题的通知》(发改价格〔2011〕534号)规定执行。1.开户行名称：陕西上德招标有限公司 2.开 户 行：西安银行股份有限公司文景路支行 3.账 号：7070 1151 0000 0135 22 4.西安银行文景路行号：313791000509 财务部联系方式： 029-86673953、029-86518381、029-89299829、029-89293231 转813 备注：供应商在汇款时须注明项目编号+项目简称</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三原县新兴镇人民政府</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三原县新兴镇人民政府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三原县新兴镇人民政府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陕西上德招标有限公司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验收标准按照国家、行业有关规范和要求执行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联系人：郅龙（8号工位）</w:t>
      </w:r>
    </w:p>
    <w:p>
      <w:pPr>
        <w:pStyle w:val="null3"/>
      </w:pPr>
      <w:r>
        <w:rPr>
          <w:rFonts w:ascii="仿宋_GB2312" w:hAnsi="仿宋_GB2312" w:cs="仿宋_GB2312" w:eastAsia="仿宋_GB2312"/>
        </w:rPr>
        <w:t>联系电话：029-86673953/86518381/89299829/89293231转808</w:t>
      </w:r>
    </w:p>
    <w:p>
      <w:pPr>
        <w:pStyle w:val="null3"/>
      </w:pPr>
      <w:r>
        <w:rPr>
          <w:rFonts w:ascii="仿宋_GB2312" w:hAnsi="仿宋_GB2312" w:cs="仿宋_GB2312" w:eastAsia="仿宋_GB2312"/>
        </w:rPr>
        <w:t>地址：西安市经开区凤城八路正尚国际金融广场A座7层703（张家堡转盘东南角）</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3,103,417.58</w:t>
      </w:r>
    </w:p>
    <w:p>
      <w:pPr>
        <w:pStyle w:val="null3"/>
      </w:pPr>
      <w:r>
        <w:rPr>
          <w:rFonts w:ascii="仿宋_GB2312" w:hAnsi="仿宋_GB2312" w:cs="仿宋_GB2312" w:eastAsia="仿宋_GB2312"/>
        </w:rPr>
        <w:t>采购包最高限价（元）: 3,103,417.58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新兴镇塔凹村乡村振兴示范村建设项目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3,103,417.58</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标的名称：新兴镇塔凹村乡村振兴示范村建设项目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工程量清单详见附件电子招标书</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1.验收流程 1.1项目在竣工后，成交人应向采购人提交工程竣工报告，申请工程竣工验收，并将施工过程中相关资料提交采购人。1.2采购人收到工程竣工报告后，对符合竣工验收要求的工程，组织相关单位和其他有关方面的专家组成验收组共同验收，签署的工程竣工验收意见。1.3验收合格后，采购人出具《工程竣工验收报告》，并在建设行政主管部门备案。1.4验收不合格的成交单位，必须在接到通知后7个日历日内确保工程通过验收。如接到通知后7个日历日内验收仍不合格，采购人可提出索赔或取消其施工合同。2.验收标准按照国家、行业有关规范和要求执行。3.成交人承诺完全达到国家有关部门验收标准，并全部通过验收为交付使用的基本条件，验收过程中的一切费用由成交供应商承担。4.验收依据 4.1合同文本及合同补充文件（条款）。4.2磋商文件。4.3磋商响应文件。4.4工程量清单。4.5建筑工程施工质量验收统一标准。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本项目工期：自合同签订后120个日历日内施工完毕。2、运输、施工：成交人负责材料的运输、施工及其他伴随服务。3、施工要求：3.1成交人在施工期间应严格遵守国家、省、市有关防火、爆破和施工安全以及文明施工、深夜施工、环卫和城管等规定，建立规章制度和防护措施, 应按安全施工的要求，采取严格科学的安全措施，确保施工安全和第三者的安全，确保工程质量和生产安全。否则，由此造成的经济和法律责任均由成交人负责。3.2成交人应配合项目建设进度,向采购人提供施工组织计划、进度计划和施工作业计划，并签订施工安全责任书。3.3采购人只提供电源、水源。成交人在施工期间不得破坏原有建筑。4、质量保证：4.1工程质保期符合文件要求及国家标准要求。成交人承诺的质保时间超过国家标准要求的，按其承诺时间质保。成交人承诺的质保期起始时间为终验合格之日。4.2工程质量等级达到合格或以上标准。4.3成交人应遵照国家规范规定的建筑工程施工质量标准及要求作出明确承诺。4.4在质量保证期内，成交人应具有良好、迅速的售后服务能力。5、合同实施：5.1.成交人应在合同签订后，依据采购人提供的平面布置图，向采购人提交项目图纸，审核合格后方可施工。5.2.图纸审核通过后7个日历日内安排人员（项目组成人员简历表所列）就施工工作等进行安排、部署。5.3.若因成交人原因未能在规定工期内完成合同规定的义务，由此对采购人造成的延误和一切损失，由成交人承担和赔偿。6、违约责任：6.1按《中华人民共和国民法典》中的相关条款执行。6.2未按合同要求提供工程质量或工程质量不能满足技术要求，采购人有权终止合同，并对供方违约行为进行追究，同时按《中华人民共和国政府采购法》的有关规定进行处罚。</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成交人在领取成交通知书时提供一正两副纸质竞争性磋商响应文件。装订：纸质竞争性磋商响应文件采用书籍（胶装）方式装订成册，与电子版文件一致的签字、盖章的完整版本，编制书脊（注明项目名称、项目编号）。2、本项目采购标的对应的中小企业划分标准所属行业为（建筑业）。3、付款条件说明：合同签订资金到位后，达到付款条件起30日内，支付合同总金额的40.00%。根据施工进度付款，施工进度分别达到50%、80%时进行付款。付款金额不超过当次进度工程量造价的85%。竣工决算审计后，达到付款条件起30日内，支付至结算价的97%。余款作为工程质量保修金，保修期满后结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资质证明文件.docx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供应商需在项目电子化交易系统中按要求上传相应证明文件并进行电子签章。本项审查内容与特殊资格要求的“财务状况报告”审查为同一项内容。</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供应商需在项目电子化交易系统中按要求上传相应证明文件并进行电子签章。本项审查内容与特殊资格要求的“控股关系查询”审查为同一项内容。</w:t>
            </w:r>
          </w:p>
        </w:tc>
        <w:tc>
          <w:tcPr>
            <w:tcW w:type="dxa" w:w="1661"/>
          </w:tcPr>
          <w:p>
            <w:pPr>
              <w:pStyle w:val="null3"/>
            </w:pPr>
            <w:r>
              <w:rPr>
                <w:rFonts w:ascii="仿宋_GB2312" w:hAnsi="仿宋_GB2312" w:cs="仿宋_GB2312" w:eastAsia="仿宋_GB2312"/>
              </w:rPr>
              <w:t>响应函 资质证明文件.docx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提供供应商合法注册的法人或其他组织的营业执照等证明文件或自然人的身份证明</w:t>
            </w:r>
          </w:p>
        </w:tc>
        <w:tc>
          <w:tcPr>
            <w:tcW w:type="dxa" w:w="3322"/>
          </w:tcPr>
          <w:p>
            <w:pPr>
              <w:pStyle w:val="null3"/>
            </w:pPr>
            <w:r>
              <w:rPr>
                <w:rFonts w:ascii="仿宋_GB2312" w:hAnsi="仿宋_GB2312" w:cs="仿宋_GB2312" w:eastAsia="仿宋_GB2312"/>
              </w:rPr>
              <w:t>提供供应商合法注册的法人或其他组织的营业执照等证明文件或自然人的身份证明；</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税收缴纳证明：提供截止至开标时间前一年内任意一个月的税收缴纳凭据（增值税、企业所得税至少提供一种，依法免税的供应商应提供相关文件证明）；</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投标文件格式）；</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具备建设行政主管部门颁发的市政公用工程施工总承包三级（含三级）以上资质, 同时具有合格有效的安全生产许可证；</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证书等级：二级或以上注册建造师资质 专业：市政公用工程专业 补充说明：拟派项目经理须具备市政公用工程专业二级或以上注册建造师资质并具有有效的安全生产考核合格证（B证），在本单位注册且无在建工程、无不良记录；（提供无在建工程、无不良记录承诺书）</w:t>
            </w:r>
          </w:p>
        </w:tc>
        <w:tc>
          <w:tcPr>
            <w:tcW w:type="dxa" w:w="1661"/>
          </w:tcPr>
          <w:p>
            <w:pPr>
              <w:pStyle w:val="null3"/>
            </w:pPr>
            <w:r>
              <w:rPr>
                <w:rFonts w:ascii="仿宋_GB2312" w:hAnsi="仿宋_GB2312" w:cs="仿宋_GB2312" w:eastAsia="仿宋_GB2312"/>
              </w:rPr>
              <w:t>项目管理机构组成表 资质证明文件.docx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磋商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根据财库【2019】38号文规定，此项在磋商截止日当天在“国家企业信用信息公示系统”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资质证明文件.docx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除明确允许供应商可以自行编写的外，磋商响应文件是否按照磋商文件给定的格式编制；</w:t>
            </w:r>
          </w:p>
        </w:tc>
        <w:tc>
          <w:tcPr>
            <w:tcW w:type="dxa" w:w="1661"/>
          </w:tcPr>
          <w:p>
            <w:pPr>
              <w:pStyle w:val="null3"/>
            </w:pPr>
            <w:r>
              <w:rPr>
                <w:rFonts w:ascii="仿宋_GB2312" w:hAnsi="仿宋_GB2312" w:cs="仿宋_GB2312" w:eastAsia="仿宋_GB2312"/>
              </w:rPr>
              <w:t>对竞争性磋商文件及合同条款的承诺.docx 中小企业声明函 法定代表人资格证明书.docx 服务承诺.docx 承诺书.docx 工程量清单计价表.docx 响应文件封面 施工技术响应.docx 项目管理机构组成表 残疾人福利性单位声明函 拒绝政府采购领域商业贿赂承诺书.docx 供应商参与政府采购活动的承诺函.docx 业绩情况表.docx 响应函 主要人员简历表 资质证明文件.docx 监狱企业的证明文件 技术、服务、商务及其他要求响应偏离表.docx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磋商报价未超过最高限价</w:t>
            </w:r>
          </w:p>
        </w:tc>
        <w:tc>
          <w:tcPr>
            <w:tcW w:type="dxa" w:w="3322"/>
          </w:tcPr>
          <w:p>
            <w:pPr>
              <w:pStyle w:val="null3"/>
            </w:pPr>
            <w:r>
              <w:rPr>
                <w:rFonts w:ascii="仿宋_GB2312" w:hAnsi="仿宋_GB2312" w:cs="仿宋_GB2312" w:eastAsia="仿宋_GB2312"/>
              </w:rPr>
              <w:t>磋商报价未超过最高限价</w:t>
            </w:r>
          </w:p>
        </w:tc>
        <w:tc>
          <w:tcPr>
            <w:tcW w:type="dxa" w:w="1661"/>
          </w:tcPr>
          <w:p>
            <w:pPr>
              <w:pStyle w:val="null3"/>
            </w:pPr>
            <w:r>
              <w:rPr>
                <w:rFonts w:ascii="仿宋_GB2312" w:hAnsi="仿宋_GB2312" w:cs="仿宋_GB2312" w:eastAsia="仿宋_GB2312"/>
              </w:rPr>
              <w:t>工程量清单计价表.docx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对磋商文件商务要求是否作出明确且实质性响应</w:t>
            </w:r>
          </w:p>
        </w:tc>
        <w:tc>
          <w:tcPr>
            <w:tcW w:type="dxa" w:w="1661"/>
          </w:tcPr>
          <w:p>
            <w:pPr>
              <w:pStyle w:val="null3"/>
            </w:pPr>
            <w:r>
              <w:rPr>
                <w:rFonts w:ascii="仿宋_GB2312" w:hAnsi="仿宋_GB2312" w:cs="仿宋_GB2312" w:eastAsia="仿宋_GB2312"/>
              </w:rPr>
              <w:t>技术、服务、商务及其他要求响应偏离表.docx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对磋商文件技术要求是否作出明确响应，对不得偏离的要求是否作出实质性响应；</w:t>
            </w:r>
          </w:p>
        </w:tc>
        <w:tc>
          <w:tcPr>
            <w:tcW w:type="dxa" w:w="1661"/>
          </w:tcPr>
          <w:p>
            <w:pPr>
              <w:pStyle w:val="null3"/>
            </w:pPr>
            <w:r>
              <w:rPr>
                <w:rFonts w:ascii="仿宋_GB2312" w:hAnsi="仿宋_GB2312" w:cs="仿宋_GB2312" w:eastAsia="仿宋_GB2312"/>
              </w:rPr>
              <w:t>技术、服务、商务及其他要求响应偏离表.docx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投标文件中提供的企业及人员资质证书等材料须在合同签订及履行期间持续有效，否则应在投标文件中提供一份承诺书，承诺到期前完成续期并向采购人提供新的材料。</w:t>
            </w:r>
          </w:p>
        </w:tc>
        <w:tc>
          <w:tcPr>
            <w:tcW w:type="dxa" w:w="3322"/>
          </w:tcPr>
          <w:p>
            <w:pPr>
              <w:pStyle w:val="null3"/>
            </w:pPr>
            <w:r>
              <w:rPr>
                <w:rFonts w:ascii="仿宋_GB2312" w:hAnsi="仿宋_GB2312" w:cs="仿宋_GB2312" w:eastAsia="仿宋_GB2312"/>
              </w:rPr>
              <w:t>投标文件中提供的企业及人员资质证书等材料须在合同签订及履行期间持续有效，否则应在投标文件中提供一份承诺书，承诺到期前完成续期并向采购人提供新的材料。</w:t>
            </w:r>
          </w:p>
        </w:tc>
        <w:tc>
          <w:tcPr>
            <w:tcW w:type="dxa" w:w="1661"/>
          </w:tcPr>
          <w:p>
            <w:pPr>
              <w:pStyle w:val="null3"/>
            </w:pPr>
            <w:r>
              <w:rPr>
                <w:rFonts w:ascii="仿宋_GB2312" w:hAnsi="仿宋_GB2312" w:cs="仿宋_GB2312" w:eastAsia="仿宋_GB2312"/>
              </w:rPr>
              <w:t>对竞争性磋商文件及合同条款的承诺.docx 中小企业声明函 法定代表人资格证明书.docx 服务承诺.docx 承诺书.docx 工程量清单计价表.docx 响应文件封面 施工技术响应.docx 项目管理机构组成表 残疾人福利性单位声明函 拒绝政府采购领域商业贿赂承诺书.docx 供应商参与政府采购活动的承诺函.docx 业绩情况表.docx 响应函 主要人员简历表 资质证明文件.docx 监狱企业的证明文件 技术、服务、商务及其他要求响应偏离表.docx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磋商响应文件是否按照磋商文件的要求盖章签字；</w:t>
            </w:r>
          </w:p>
        </w:tc>
        <w:tc>
          <w:tcPr>
            <w:tcW w:type="dxa" w:w="1661"/>
          </w:tcPr>
          <w:p>
            <w:pPr>
              <w:pStyle w:val="null3"/>
            </w:pPr>
            <w:r>
              <w:rPr>
                <w:rFonts w:ascii="仿宋_GB2312" w:hAnsi="仿宋_GB2312" w:cs="仿宋_GB2312" w:eastAsia="仿宋_GB2312"/>
              </w:rPr>
              <w:t>对竞争性磋商文件及合同条款的承诺.docx 中小企业声明函 法定代表人资格证明书.docx 服务承诺.docx 承诺书.docx 工程量清单计价表.docx 响应文件封面 施工技术响应.docx 项目管理机构组成表 残疾人福利性单位声明函 拒绝政府采购领域商业贿赂承诺书.docx 供应商参与政府采购活动的承诺函.docx 业绩情况表.docx 响应函 主要人员简历表 资质证明文件.docx 监狱企业的证明文件 技术、服务、商务及其他要求响应偏离表.docx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磋商响应文件未含有采购人不能接受的附加条件</w:t>
            </w:r>
          </w:p>
        </w:tc>
        <w:tc>
          <w:tcPr>
            <w:tcW w:type="dxa" w:w="3322"/>
          </w:tcPr>
          <w:p>
            <w:pPr>
              <w:pStyle w:val="null3"/>
            </w:pPr>
            <w:r>
              <w:rPr>
                <w:rFonts w:ascii="仿宋_GB2312" w:hAnsi="仿宋_GB2312" w:cs="仿宋_GB2312" w:eastAsia="仿宋_GB2312"/>
              </w:rPr>
              <w:t>磋商响应文件未含有采购人不能接受的附加条件</w:t>
            </w:r>
          </w:p>
        </w:tc>
        <w:tc>
          <w:tcPr>
            <w:tcW w:type="dxa" w:w="1661"/>
          </w:tcPr>
          <w:p>
            <w:pPr>
              <w:pStyle w:val="null3"/>
            </w:pPr>
            <w:r>
              <w:rPr>
                <w:rFonts w:ascii="仿宋_GB2312" w:hAnsi="仿宋_GB2312" w:cs="仿宋_GB2312" w:eastAsia="仿宋_GB2312"/>
              </w:rPr>
              <w:t>对竞争性磋商文件及合同条款的承诺.docx 中小企业声明函 法定代表人资格证明书.docx 服务承诺.docx 承诺书.docx 工程量清单计价表.docx 响应文件封面 施工技术响应.docx 项目管理机构组成表 残疾人福利性单位声明函 拒绝政府采购领域商业贿赂承诺书.docx 供应商参与政府采购活动的承诺函.docx 业绩情况表.docx 响应函 主要人员简历表 资质证明文件.docx 监狱企业的证明文件 技术、服务、商务及其他要求响应偏离表.docx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法律、法规和磋商文件规定的其他无效响应情形</w:t>
            </w:r>
          </w:p>
        </w:tc>
        <w:tc>
          <w:tcPr>
            <w:tcW w:type="dxa" w:w="3322"/>
          </w:tcPr>
          <w:p>
            <w:pPr>
              <w:pStyle w:val="null3"/>
            </w:pPr>
            <w:r>
              <w:rPr>
                <w:rFonts w:ascii="仿宋_GB2312" w:hAnsi="仿宋_GB2312" w:cs="仿宋_GB2312" w:eastAsia="仿宋_GB2312"/>
              </w:rPr>
              <w:t>法律、法规和磋商文件规定的其他无效响应情形</w:t>
            </w:r>
          </w:p>
        </w:tc>
        <w:tc>
          <w:tcPr>
            <w:tcW w:type="dxa" w:w="1661"/>
          </w:tcPr>
          <w:p>
            <w:pPr>
              <w:pStyle w:val="null3"/>
            </w:pPr>
            <w:r>
              <w:rPr>
                <w:rFonts w:ascii="仿宋_GB2312" w:hAnsi="仿宋_GB2312" w:cs="仿宋_GB2312" w:eastAsia="仿宋_GB2312"/>
              </w:rPr>
              <w:t>对竞争性磋商文件及合同条款的承诺.docx 中小企业声明函 法定代表人资格证明书.docx 服务承诺.docx 承诺书.docx 工程量清单计价表.docx 响应文件封面 施工技术响应.docx 项目管理机构组成表 残疾人福利性单位声明函 拒绝政府采购领域商业贿赂承诺书.docx 供应商参与政府采购活动的承诺函.docx 业绩情况表.docx 响应函 主要人员简历表 资质证明文件.docx 监狱企业的证明文件 技术、服务、商务及其他要求响应偏离表.docx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一、评审内容： 供应商针对本项目编制完善的工程质量技术组织措施，内容包含但不限于：①质量目标管理体系，②施工质量的检验制度，③确保质量的技术组织措施，④材料储存方案。 二、评审标准 1、内容全面详细，且条理清晰、准确、措施合理具体； 2、内容能够紧扣项目实际情况，内容清晰、合理。 三、赋分标准（满分6分） ①内容完整且完全满足上述评审标准的，计6分； ②内容完整，但条理不清晰、措施不具体、无紧扣项目实际情况实质性内容的，计3分； ③内容缺2项及以下的，计1分； ④内容缺3项及以上的不计分。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施工技术响应.docx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一、评审内容 供应商针对本项目编制完善的文明施工及环境保护措施，内容包含但不限于：①安全文明施工目标及施工现场的临时管理措施，②文明施工保障措施，③环境保护管理体系，④环保控制措施：污染物及废弃物处理的排放、噪音控制、防尘及扬尘的控制措施。 二、评审标准 1、内容全面详细，且条理清晰、准确、措施合理具体； 2、内容能够紧扣项目实际情况，内容清晰、合理。 三、赋分标准（满分6分） ①内容完整且完全满足上述评审标准的，计6分； ②内容完整，但条理不清晰、措施不具体、无紧扣项目实际情况实质性内容的，计3分； ③内容缺2项及以下的，计1分； ④内容缺3项及以上的不计分。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施工技术响应.docx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一、评审内容 供应商针对本项目编制完善的安全生产的技术组织措施，内容包含但不限于：①安全管理体系，②安全责任归属划分，③安全标识：安全警戒标语、施工人员安全警示服和安全帽穿配要求，④安全教育培训。 二、评审标准 1、内容全面详细，且条理清晰、准确、措施合理具体； 2、内容能够紧扣项目实际情况，内容清晰、合理。 三、赋分标准（满分6分） ①内容完整且完全满足上述评审标准的，计6分； ②内容完整，但条理不清晰、措施不具体、无紧扣项目实际情况实质性内容的，计3分； ③内容缺2项及以下的，计1分； ④内容缺3项及以上的不计分。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施工技术响应.docx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一、评审内容 供应商针对本项目编制完善的工期的技术组织措施，内容包含但不限于：①施工组织与工期保证措施，②特殊情况保证：夜间、雨季、高温等情况。 二、评审标准 1、内容全面详细，且条理清晰、准确、措施合理具体； 2、内容能够紧扣项目实际情况，内容清晰、合理。 三、赋分标准（满分6分） ①内容完整且完全满足上述评审标准的，得6分； ②内容完整，但条理不清晰、措施不具体且无紧扣项目实际情况的实质性内容，计3分； ③内容缺1项的，计1分； ④未提供相关内容的不计分。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施工技术响应.docx</w:t>
            </w:r>
          </w:p>
        </w:tc>
      </w:tr>
      <w:tr>
        <w:tc>
          <w:tcPr>
            <w:tcW w:type="dxa" w:w="831"/>
            <w:vMerge/>
          </w:tcPr>
          <w:p/>
        </w:tc>
        <w:tc>
          <w:tcPr>
            <w:tcW w:type="dxa" w:w="1661"/>
          </w:tcPr>
          <w:p>
            <w:pPr>
              <w:pStyle w:val="null3"/>
            </w:pPr>
            <w:r>
              <w:rPr>
                <w:rFonts w:ascii="仿宋_GB2312" w:hAnsi="仿宋_GB2312" w:cs="仿宋_GB2312" w:eastAsia="仿宋_GB2312"/>
              </w:rPr>
              <w:t>项目施工方案</w:t>
            </w:r>
          </w:p>
        </w:tc>
        <w:tc>
          <w:tcPr>
            <w:tcW w:type="dxa" w:w="2492"/>
          </w:tcPr>
          <w:p>
            <w:pPr>
              <w:pStyle w:val="null3"/>
            </w:pPr>
            <w:r>
              <w:rPr>
                <w:rFonts w:ascii="仿宋_GB2312" w:hAnsi="仿宋_GB2312" w:cs="仿宋_GB2312" w:eastAsia="仿宋_GB2312"/>
              </w:rPr>
              <w:t>一、评审内容 供应商针对本项目编制完善的施工方案，内容包含但不限于：①具体施工内容，②施工次序，③施工方法（工艺），④成品保护措施。 二、评审标准 1、内容全面详细，且条理清晰、准确、措施合理具体； 2、内容能够紧扣项目实际情况，内容清晰、合理。 三、赋分标准（满分10分） ①内容完整且完全满足上述评审标准的，得10分； ②内容完整，但条理不清晰、措施不具体且无紧扣项目实际情况的实质性内容，计6分； ③内容缺1-2项的，计3分； ④内容缺3项的计1分； ⑤未提供相关内容的不计分。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施工技术响应.docx</w:t>
            </w:r>
          </w:p>
        </w:tc>
      </w:tr>
      <w:tr>
        <w:tc>
          <w:tcPr>
            <w:tcW w:type="dxa" w:w="831"/>
            <w:vMerge/>
          </w:tcPr>
          <w:p/>
        </w:tc>
        <w:tc>
          <w:tcPr>
            <w:tcW w:type="dxa" w:w="1661"/>
          </w:tcPr>
          <w:p>
            <w:pPr>
              <w:pStyle w:val="null3"/>
            </w:pPr>
            <w:r>
              <w:rPr>
                <w:rFonts w:ascii="仿宋_GB2312" w:hAnsi="仿宋_GB2312" w:cs="仿宋_GB2312" w:eastAsia="仿宋_GB2312"/>
              </w:rPr>
              <w:t>施工机械及材料投入计划</w:t>
            </w:r>
          </w:p>
        </w:tc>
        <w:tc>
          <w:tcPr>
            <w:tcW w:type="dxa" w:w="2492"/>
          </w:tcPr>
          <w:p>
            <w:pPr>
              <w:pStyle w:val="null3"/>
            </w:pPr>
            <w:r>
              <w:rPr>
                <w:rFonts w:ascii="仿宋_GB2312" w:hAnsi="仿宋_GB2312" w:cs="仿宋_GB2312" w:eastAsia="仿宋_GB2312"/>
              </w:rPr>
              <w:t>一、评审内容 供应商针对本项目编制完善的施工机械及材料投入计划，内容包含但不限于：①拟投入的主要施工机械设备计划，②主要材料进场计划。 二、评审标准 1、内容全面详细，且条理清晰、准确、措施合理具体； 2、内容能够紧扣项目实际情况，内容清晰、合理。 三、赋分标准（满分6分） ①内容完整且完全满足上述评审标准的，得6分； ②内容完整，但条理不清晰、计划不具体且无紧扣项目实际情况的实质性内容，计3分； ③内容缺1项的，计1分； ④未提供相关内容的不计分。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施工技术响应.docx</w:t>
            </w:r>
          </w:p>
        </w:tc>
      </w:tr>
      <w:tr>
        <w:tc>
          <w:tcPr>
            <w:tcW w:type="dxa" w:w="831"/>
            <w:vMerge/>
          </w:tcPr>
          <w:p/>
        </w:tc>
        <w:tc>
          <w:tcPr>
            <w:tcW w:type="dxa" w:w="1661"/>
          </w:tcPr>
          <w:p>
            <w:pPr>
              <w:pStyle w:val="null3"/>
            </w:pPr>
            <w:r>
              <w:rPr>
                <w:rFonts w:ascii="仿宋_GB2312" w:hAnsi="仿宋_GB2312" w:cs="仿宋_GB2312" w:eastAsia="仿宋_GB2312"/>
              </w:rPr>
              <w:t>施工进度网络图或施工进度表</w:t>
            </w:r>
          </w:p>
        </w:tc>
        <w:tc>
          <w:tcPr>
            <w:tcW w:type="dxa" w:w="2492"/>
          </w:tcPr>
          <w:p>
            <w:pPr>
              <w:pStyle w:val="null3"/>
            </w:pPr>
            <w:r>
              <w:rPr>
                <w:rFonts w:ascii="仿宋_GB2312" w:hAnsi="仿宋_GB2312" w:cs="仿宋_GB2312" w:eastAsia="仿宋_GB2312"/>
              </w:rPr>
              <w:t>一、评审内容 供应商针对本项目编制完善的施工进度网络图或施工进度表，内容包含但不限于：①施工总进度：施工进度目标和施工总进度计划表/图，②施工进度保障措施。 二、评审标准 1、内容全面详细，且条理清晰、准确、措施合理具体； 2、内容能够紧扣项目实际情况，内容清晰、合理。 三、赋分标准（满分6分） ①内容完整且完全满足上述评审标准的，得6分； ②内容完整，但条理不清晰、计划不具体且无紧扣项目实际情况的实质性内容，计3分； ③内容缺1项的，计1分； ④未提供相关内容的不计分。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施工技术响应.docx</w:t>
            </w:r>
          </w:p>
        </w:tc>
      </w:tr>
      <w:tr>
        <w:tc>
          <w:tcPr>
            <w:tcW w:type="dxa" w:w="831"/>
            <w:vMerge/>
          </w:tcPr>
          <w:p/>
        </w:tc>
        <w:tc>
          <w:tcPr>
            <w:tcW w:type="dxa" w:w="1661"/>
          </w:tcPr>
          <w:p>
            <w:pPr>
              <w:pStyle w:val="null3"/>
            </w:pPr>
            <w:r>
              <w:rPr>
                <w:rFonts w:ascii="仿宋_GB2312" w:hAnsi="仿宋_GB2312" w:cs="仿宋_GB2312" w:eastAsia="仿宋_GB2312"/>
              </w:rPr>
              <w:t>劳动力安排计划及劳务分包情况</w:t>
            </w:r>
          </w:p>
        </w:tc>
        <w:tc>
          <w:tcPr>
            <w:tcW w:type="dxa" w:w="2492"/>
          </w:tcPr>
          <w:p>
            <w:pPr>
              <w:pStyle w:val="null3"/>
            </w:pPr>
            <w:r>
              <w:rPr>
                <w:rFonts w:ascii="仿宋_GB2312" w:hAnsi="仿宋_GB2312" w:cs="仿宋_GB2312" w:eastAsia="仿宋_GB2312"/>
              </w:rPr>
              <w:t>一、评审内容 供应商针对本项目编制完善的劳动力安排计划及劳务分包情况，内容包含但不限于：①劳动力投入计划，②劳务分包情况，③劳动力保障措施。 二、评审标准 1、内容全面详细，且条理清晰、准确、措施合理具体； 2、内容能够紧扣项目实际情况，内容清晰、合理。 三、赋分标准（满分6分） ①内容完整且完全满足上述评审标准的，得6分； ②内容完整，但条理不清晰、计划不具体且无紧扣项目实际情况的实质性内容，计3分； ③内容缺2项及以下的，计1分； ④未提供相关内容的不计分。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施工技术响应.docx</w:t>
            </w:r>
          </w:p>
        </w:tc>
      </w:tr>
      <w:tr>
        <w:tc>
          <w:tcPr>
            <w:tcW w:type="dxa" w:w="831"/>
            <w:vMerge/>
          </w:tcPr>
          <w:p/>
        </w:tc>
        <w:tc>
          <w:tcPr>
            <w:tcW w:type="dxa" w:w="1661"/>
          </w:tcPr>
          <w:p>
            <w:pPr>
              <w:pStyle w:val="null3"/>
            </w:pPr>
            <w:r>
              <w:rPr>
                <w:rFonts w:ascii="仿宋_GB2312" w:hAnsi="仿宋_GB2312" w:cs="仿宋_GB2312" w:eastAsia="仿宋_GB2312"/>
              </w:rPr>
              <w:t>项目经理部组织机构</w:t>
            </w:r>
          </w:p>
        </w:tc>
        <w:tc>
          <w:tcPr>
            <w:tcW w:type="dxa" w:w="2492"/>
          </w:tcPr>
          <w:p>
            <w:pPr>
              <w:pStyle w:val="null3"/>
            </w:pPr>
            <w:r>
              <w:rPr>
                <w:rFonts w:ascii="仿宋_GB2312" w:hAnsi="仿宋_GB2312" w:cs="仿宋_GB2312" w:eastAsia="仿宋_GB2312"/>
              </w:rPr>
              <w:t>一、评审内容 供应商针对本项目编制完善的项目经理部组织机构，内容包含但不限于：①项目成员配置清单及架构，②项目组配备人员的专业素质、人员结构，③项目成员的主要职责及工作内容。 二、评审标准 1、内容全面详细，且条理清晰、准确、措施合理具体； 2、内容能够紧扣项目实际情况，内容清晰、合理。 三、赋分标准（满分6分） ①内容完整且完全满足上述评审标准的，得6分； ②内容完整，但条理不清晰、内容不具体且无紧扣项目实际情况的实质性内容，计3分； ③内容缺2项及以下的，计1分； ④未提供相关内容的不计分。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施工技术响应.docx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以合同形式提供供应商2022年01月至今类似项目业绩，每份计2分，计满6分为止。（以合同签订时间为准，附合同复印件）</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业绩情况表.docx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供应商针对本项目编制完善的服务承诺，内容包含但不限于：①对招标文件和合同条款的响应承诺，②针对本项目实际需求提供实质性服务承诺及保障措施，③针对本项目的施工验收后期的质保承诺。 二、评审标准 1、内容全面详细，且条理清晰、准确、措施合理具体； 2、内容能够紧扣项目实际情况，内容清晰、合理。 三、赋分标准（满分6分） ①内容完整且完全满足上述评审标准的，得6分； ②内容完整，但条理不清晰、内容不具体且无紧扣项目实际情况的实质性内容，计3分； ③内容缺2项及以下的，计1分； ④未提供相关内容的不计分。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统一采用低价优先法计算，即满足磋商文件要求且磋商价格最低的磋商报价为评标基准价，其价格分为满分。其他供应商的价格分统一按照下列公式计算： 磋商报价得分=(磋商基准价／磋商报价)×价格权值（即30%）×100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详见附件：法定代表人资格证明书.docx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详见附件：技术、服务、商务及其他要求响应偏离表.docx</w:t>
      </w:r>
    </w:p>
    <w:p>
      <w:pPr>
        <w:pStyle w:val="null3"/>
        <w:ind w:firstLine="960"/>
      </w:pPr>
      <w:r>
        <w:rPr>
          <w:rFonts w:ascii="仿宋_GB2312" w:hAnsi="仿宋_GB2312" w:cs="仿宋_GB2312" w:eastAsia="仿宋_GB2312"/>
        </w:rPr>
        <w:t>详见附件：对竞争性磋商文件及合同条款的承诺.docx</w:t>
      </w:r>
    </w:p>
    <w:p>
      <w:pPr>
        <w:pStyle w:val="null3"/>
        <w:ind w:firstLine="960"/>
      </w:pPr>
      <w:r>
        <w:rPr>
          <w:rFonts w:ascii="仿宋_GB2312" w:hAnsi="仿宋_GB2312" w:cs="仿宋_GB2312" w:eastAsia="仿宋_GB2312"/>
        </w:rPr>
        <w:t>详见附件：工程量清单计价表.docx</w:t>
      </w:r>
    </w:p>
    <w:p>
      <w:pPr>
        <w:pStyle w:val="null3"/>
        <w:ind w:firstLine="960"/>
      </w:pPr>
      <w:r>
        <w:rPr>
          <w:rFonts w:ascii="仿宋_GB2312" w:hAnsi="仿宋_GB2312" w:cs="仿宋_GB2312" w:eastAsia="仿宋_GB2312"/>
        </w:rPr>
        <w:t>详见附件：施工技术响应.docx</w:t>
      </w:r>
    </w:p>
    <w:p>
      <w:pPr>
        <w:pStyle w:val="null3"/>
        <w:ind w:firstLine="960"/>
      </w:pPr>
      <w:r>
        <w:rPr>
          <w:rFonts w:ascii="仿宋_GB2312" w:hAnsi="仿宋_GB2312" w:cs="仿宋_GB2312" w:eastAsia="仿宋_GB2312"/>
        </w:rPr>
        <w:t>详见附件：供应商参与政府采购活动的承诺函.docx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详见附件：业绩情况表.docx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详见附件：资质证明文件.docx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