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BFA13D">
      <w:pPr>
        <w:numPr>
          <w:ilvl w:val="0"/>
          <w:numId w:val="0"/>
        </w:numPr>
        <w:spacing w:line="360" w:lineRule="auto"/>
        <w:jc w:val="center"/>
        <w:outlineLvl w:val="9"/>
        <w:rPr>
          <w:rFonts w:hint="default" w:ascii="宋体" w:hAnsi="宋体" w:eastAsia="宋体" w:cs="宋体"/>
          <w:b/>
          <w:bCs/>
          <w:color w:val="auto"/>
          <w:sz w:val="40"/>
          <w:szCs w:val="40"/>
          <w:highlight w:val="none"/>
          <w:lang w:val="en-US"/>
        </w:rPr>
      </w:pPr>
      <w:bookmarkStart w:id="509" w:name="_GoBack"/>
      <w:bookmarkEnd w:id="509"/>
      <w:r>
        <w:rPr>
          <w:rFonts w:hint="eastAsia" w:ascii="宋体" w:hAnsi="宋体" w:cs="宋体"/>
          <w:b/>
          <w:bCs/>
          <w:color w:val="auto"/>
          <w:sz w:val="40"/>
          <w:szCs w:val="40"/>
          <w:highlight w:val="none"/>
          <w:lang w:val="en-US" w:eastAsia="zh-CN"/>
        </w:rPr>
        <w:t>合同文本</w:t>
      </w:r>
    </w:p>
    <w:p w14:paraId="2AB4B159">
      <w:pPr>
        <w:numPr>
          <w:ilvl w:val="0"/>
          <w:numId w:val="0"/>
        </w:numPr>
        <w:spacing w:line="360" w:lineRule="auto"/>
        <w:jc w:val="center"/>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第一部分 合同协议书</w:t>
      </w:r>
    </w:p>
    <w:p w14:paraId="20312A1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发包人（全称）：</w:t>
      </w:r>
      <w:r>
        <w:rPr>
          <w:rFonts w:hint="eastAsia" w:ascii="宋体" w:hAnsi="宋体" w:cs="宋体"/>
          <w:b w:val="0"/>
          <w:color w:val="auto"/>
          <w:sz w:val="24"/>
          <w:szCs w:val="24"/>
          <w:highlight w:val="none"/>
          <w:u w:val="single"/>
          <w:lang w:val="en-US" w:eastAsia="zh-CN"/>
        </w:rPr>
        <w:t xml:space="preserve">                     </w:t>
      </w:r>
      <w:r>
        <w:rPr>
          <w:rFonts w:hint="eastAsia" w:ascii="宋体" w:hAnsi="宋体" w:eastAsia="宋体" w:cs="宋体"/>
          <w:b w:val="0"/>
          <w:color w:val="auto"/>
          <w:sz w:val="24"/>
          <w:szCs w:val="24"/>
          <w:highlight w:val="none"/>
        </w:rPr>
        <w:t xml:space="preserve">                </w:t>
      </w:r>
    </w:p>
    <w:p w14:paraId="46D24D1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承包人（全称）：</w:t>
      </w:r>
      <w:r>
        <w:rPr>
          <w:rFonts w:hint="eastAsia" w:ascii="宋体" w:hAnsi="宋体" w:cs="宋体"/>
          <w:b w:val="0"/>
          <w:color w:val="auto"/>
          <w:sz w:val="24"/>
          <w:szCs w:val="24"/>
          <w:highlight w:val="none"/>
          <w:u w:val="single"/>
          <w:lang w:val="en-US" w:eastAsia="zh-CN"/>
        </w:rPr>
        <w:t xml:space="preserve">                     </w:t>
      </w:r>
      <w:r>
        <w:rPr>
          <w:rFonts w:hint="eastAsia" w:ascii="宋体" w:hAnsi="宋体" w:eastAsia="宋体" w:cs="宋体"/>
          <w:b w:val="0"/>
          <w:color w:val="auto"/>
          <w:sz w:val="24"/>
          <w:szCs w:val="24"/>
          <w:highlight w:val="none"/>
        </w:rPr>
        <w:t xml:space="preserve">      </w:t>
      </w:r>
    </w:p>
    <w:p w14:paraId="0C245CD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根据《中华人民共和国民法典》、《中华人民共和国建筑法》及有关法律规定，遵循平等、自愿、公平和诚实信用的原则，双方就</w:t>
      </w:r>
      <w:r>
        <w:rPr>
          <w:rFonts w:hint="eastAsia" w:ascii="宋体" w:hAnsi="宋体" w:cs="宋体"/>
          <w:b w:val="0"/>
          <w:color w:val="auto"/>
          <w:sz w:val="24"/>
          <w:szCs w:val="24"/>
          <w:highlight w:val="none"/>
          <w:u w:val="single"/>
          <w:lang w:val="en-US" w:eastAsia="zh-CN"/>
        </w:rPr>
        <w:t xml:space="preserve">                  </w:t>
      </w:r>
      <w:r>
        <w:rPr>
          <w:rFonts w:hint="eastAsia" w:ascii="宋体" w:hAnsi="宋体" w:eastAsia="宋体" w:cs="宋体"/>
          <w:b w:val="0"/>
          <w:color w:val="auto"/>
          <w:sz w:val="24"/>
          <w:szCs w:val="24"/>
          <w:highlight w:val="none"/>
        </w:rPr>
        <w:t>工程施工及有关事项协商一致，共同达成如下协议：</w:t>
      </w:r>
    </w:p>
    <w:p w14:paraId="44B1BFA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一、工程概况</w:t>
      </w:r>
    </w:p>
    <w:p w14:paraId="03237C8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1.工程名称：</w:t>
      </w:r>
      <w:r>
        <w:rPr>
          <w:rFonts w:hint="eastAsia" w:ascii="宋体" w:hAnsi="宋体" w:cs="宋体"/>
          <w:b w:val="0"/>
          <w:color w:val="auto"/>
          <w:sz w:val="24"/>
          <w:szCs w:val="24"/>
          <w:highlight w:val="none"/>
          <w:u w:val="single"/>
          <w:lang w:val="en-US" w:eastAsia="zh-CN"/>
        </w:rPr>
        <w:t xml:space="preserve">                     </w:t>
      </w:r>
      <w:r>
        <w:rPr>
          <w:rFonts w:hint="eastAsia" w:ascii="宋体" w:hAnsi="宋体" w:eastAsia="宋体" w:cs="宋体"/>
          <w:b w:val="0"/>
          <w:color w:val="auto"/>
          <w:sz w:val="24"/>
          <w:szCs w:val="24"/>
          <w:highlight w:val="none"/>
        </w:rPr>
        <w:t xml:space="preserve">         </w:t>
      </w:r>
    </w:p>
    <w:p w14:paraId="4483E8E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2.工程地点：</w:t>
      </w:r>
      <w:r>
        <w:rPr>
          <w:rFonts w:hint="eastAsia" w:ascii="宋体" w:hAnsi="宋体" w:cs="宋体"/>
          <w:b w:val="0"/>
          <w:color w:val="auto"/>
          <w:sz w:val="24"/>
          <w:szCs w:val="24"/>
          <w:highlight w:val="none"/>
          <w:u w:val="single"/>
          <w:lang w:val="en-US" w:eastAsia="zh-CN"/>
        </w:rPr>
        <w:t xml:space="preserve">                     </w:t>
      </w:r>
      <w:r>
        <w:rPr>
          <w:rFonts w:hint="eastAsia" w:ascii="宋体" w:hAnsi="宋体" w:eastAsia="宋体" w:cs="宋体"/>
          <w:b w:val="0"/>
          <w:color w:val="auto"/>
          <w:sz w:val="24"/>
          <w:szCs w:val="24"/>
          <w:highlight w:val="none"/>
        </w:rPr>
        <w:t xml:space="preserve">                                                </w:t>
      </w:r>
    </w:p>
    <w:p w14:paraId="536F19D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3.工程立项批准文号：</w:t>
      </w:r>
      <w:r>
        <w:rPr>
          <w:rFonts w:hint="eastAsia" w:ascii="宋体" w:hAnsi="宋体" w:cs="宋体"/>
          <w:b w:val="0"/>
          <w:color w:val="auto"/>
          <w:sz w:val="24"/>
          <w:szCs w:val="24"/>
          <w:highlight w:val="none"/>
          <w:u w:val="single"/>
          <w:lang w:val="en-US" w:eastAsia="zh-CN"/>
        </w:rPr>
        <w:t xml:space="preserve">                     </w:t>
      </w:r>
      <w:r>
        <w:rPr>
          <w:rFonts w:hint="eastAsia" w:ascii="宋体" w:hAnsi="宋体" w:eastAsia="宋体" w:cs="宋体"/>
          <w:b w:val="0"/>
          <w:color w:val="auto"/>
          <w:sz w:val="24"/>
          <w:szCs w:val="24"/>
          <w:highlight w:val="none"/>
        </w:rPr>
        <w:t xml:space="preserve">                         </w:t>
      </w:r>
    </w:p>
    <w:p w14:paraId="349CECC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4.资金来源：</w:t>
      </w:r>
      <w:r>
        <w:rPr>
          <w:rFonts w:hint="eastAsia" w:ascii="宋体" w:hAnsi="宋体" w:cs="宋体"/>
          <w:b w:val="0"/>
          <w:color w:val="auto"/>
          <w:sz w:val="24"/>
          <w:szCs w:val="24"/>
          <w:highlight w:val="none"/>
          <w:u w:val="single"/>
          <w:lang w:val="en-US" w:eastAsia="zh-CN"/>
        </w:rPr>
        <w:t xml:space="preserve">                     </w:t>
      </w:r>
      <w:r>
        <w:rPr>
          <w:rFonts w:hint="eastAsia" w:ascii="宋体" w:hAnsi="宋体" w:eastAsia="宋体" w:cs="宋体"/>
          <w:b w:val="0"/>
          <w:color w:val="auto"/>
          <w:sz w:val="24"/>
          <w:szCs w:val="24"/>
          <w:highlight w:val="none"/>
        </w:rPr>
        <w:t xml:space="preserve">                                </w:t>
      </w:r>
    </w:p>
    <w:p w14:paraId="2A57DA1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5.工程内容：</w:t>
      </w:r>
      <w:r>
        <w:rPr>
          <w:rFonts w:hint="eastAsia" w:ascii="宋体" w:hAnsi="宋体" w:cs="宋体"/>
          <w:b w:val="0"/>
          <w:color w:val="auto"/>
          <w:sz w:val="24"/>
          <w:szCs w:val="24"/>
          <w:highlight w:val="none"/>
          <w:u w:val="single"/>
          <w:lang w:val="en-US" w:eastAsia="zh-CN"/>
        </w:rPr>
        <w:t xml:space="preserve">                     </w:t>
      </w:r>
    </w:p>
    <w:p w14:paraId="372C320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6.工程承包范围：</w:t>
      </w:r>
      <w:r>
        <w:rPr>
          <w:rFonts w:hint="eastAsia" w:ascii="宋体" w:hAnsi="宋体" w:cs="宋体"/>
          <w:b w:val="0"/>
          <w:color w:val="auto"/>
          <w:sz w:val="24"/>
          <w:szCs w:val="24"/>
          <w:highlight w:val="none"/>
          <w:u w:val="single"/>
          <w:lang w:val="en-US" w:eastAsia="zh-CN"/>
        </w:rPr>
        <w:t xml:space="preserve">                     </w:t>
      </w:r>
      <w:r>
        <w:rPr>
          <w:rFonts w:hint="eastAsia" w:ascii="宋体" w:hAnsi="宋体" w:eastAsia="宋体" w:cs="宋体"/>
          <w:b w:val="0"/>
          <w:color w:val="auto"/>
          <w:sz w:val="24"/>
          <w:szCs w:val="24"/>
          <w:highlight w:val="none"/>
        </w:rPr>
        <w:t>。</w:t>
      </w:r>
    </w:p>
    <w:p w14:paraId="265311B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二、合同工期</w:t>
      </w:r>
    </w:p>
    <w:p w14:paraId="14DED4D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计划开工日期：</w:t>
      </w:r>
      <w:r>
        <w:rPr>
          <w:rFonts w:hint="eastAsia" w:ascii="宋体" w:hAnsi="宋体" w:eastAsia="宋体" w:cs="宋体"/>
          <w:b w:val="0"/>
          <w:color w:val="auto"/>
          <w:sz w:val="24"/>
          <w:szCs w:val="24"/>
          <w:highlight w:val="none"/>
          <w:u w:val="single"/>
        </w:rPr>
        <w:t xml:space="preserve">      </w:t>
      </w:r>
      <w:r>
        <w:rPr>
          <w:rFonts w:hint="eastAsia" w:ascii="宋体" w:hAnsi="宋体" w:eastAsia="宋体" w:cs="宋体"/>
          <w:b w:val="0"/>
          <w:color w:val="auto"/>
          <w:sz w:val="24"/>
          <w:szCs w:val="24"/>
          <w:highlight w:val="none"/>
        </w:rPr>
        <w:t>年</w:t>
      </w:r>
      <w:r>
        <w:rPr>
          <w:rFonts w:hint="eastAsia" w:ascii="宋体" w:hAnsi="宋体" w:eastAsia="宋体" w:cs="宋体"/>
          <w:b w:val="0"/>
          <w:color w:val="auto"/>
          <w:sz w:val="24"/>
          <w:szCs w:val="24"/>
          <w:highlight w:val="none"/>
          <w:u w:val="single"/>
        </w:rPr>
        <w:t xml:space="preserve">    </w:t>
      </w:r>
      <w:r>
        <w:rPr>
          <w:rFonts w:hint="eastAsia" w:ascii="宋体" w:hAnsi="宋体" w:eastAsia="宋体" w:cs="宋体"/>
          <w:b w:val="0"/>
          <w:color w:val="auto"/>
          <w:sz w:val="24"/>
          <w:szCs w:val="24"/>
          <w:highlight w:val="none"/>
        </w:rPr>
        <w:t>月</w:t>
      </w:r>
      <w:r>
        <w:rPr>
          <w:rFonts w:hint="eastAsia" w:ascii="宋体" w:hAnsi="宋体" w:eastAsia="宋体" w:cs="宋体"/>
          <w:b w:val="0"/>
          <w:color w:val="auto"/>
          <w:sz w:val="24"/>
          <w:szCs w:val="24"/>
          <w:highlight w:val="none"/>
          <w:u w:val="single"/>
        </w:rPr>
        <w:t xml:space="preserve">     </w:t>
      </w:r>
      <w:r>
        <w:rPr>
          <w:rFonts w:hint="eastAsia" w:ascii="宋体" w:hAnsi="宋体" w:eastAsia="宋体" w:cs="宋体"/>
          <w:b w:val="0"/>
          <w:color w:val="auto"/>
          <w:sz w:val="24"/>
          <w:szCs w:val="24"/>
          <w:highlight w:val="none"/>
        </w:rPr>
        <w:t>日</w:t>
      </w:r>
    </w:p>
    <w:p w14:paraId="2B6DEC3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计划竣工日期：</w:t>
      </w:r>
      <w:r>
        <w:rPr>
          <w:rFonts w:hint="eastAsia" w:ascii="宋体" w:hAnsi="宋体" w:eastAsia="宋体" w:cs="宋体"/>
          <w:b w:val="0"/>
          <w:color w:val="auto"/>
          <w:sz w:val="24"/>
          <w:szCs w:val="24"/>
          <w:highlight w:val="none"/>
          <w:u w:val="single"/>
        </w:rPr>
        <w:t xml:space="preserve">      </w:t>
      </w:r>
      <w:r>
        <w:rPr>
          <w:rFonts w:hint="eastAsia" w:ascii="宋体" w:hAnsi="宋体" w:eastAsia="宋体" w:cs="宋体"/>
          <w:b w:val="0"/>
          <w:color w:val="auto"/>
          <w:sz w:val="24"/>
          <w:szCs w:val="24"/>
          <w:highlight w:val="none"/>
        </w:rPr>
        <w:t>年</w:t>
      </w:r>
      <w:r>
        <w:rPr>
          <w:rFonts w:hint="eastAsia" w:ascii="宋体" w:hAnsi="宋体" w:eastAsia="宋体" w:cs="宋体"/>
          <w:b w:val="0"/>
          <w:color w:val="auto"/>
          <w:sz w:val="24"/>
          <w:szCs w:val="24"/>
          <w:highlight w:val="none"/>
          <w:u w:val="single"/>
        </w:rPr>
        <w:t xml:space="preserve">    </w:t>
      </w:r>
      <w:r>
        <w:rPr>
          <w:rFonts w:hint="eastAsia" w:ascii="宋体" w:hAnsi="宋体" w:eastAsia="宋体" w:cs="宋体"/>
          <w:b w:val="0"/>
          <w:color w:val="auto"/>
          <w:sz w:val="24"/>
          <w:szCs w:val="24"/>
          <w:highlight w:val="none"/>
        </w:rPr>
        <w:t>月</w:t>
      </w:r>
      <w:r>
        <w:rPr>
          <w:rFonts w:hint="eastAsia" w:ascii="宋体" w:hAnsi="宋体" w:eastAsia="宋体" w:cs="宋体"/>
          <w:b w:val="0"/>
          <w:color w:val="auto"/>
          <w:sz w:val="24"/>
          <w:szCs w:val="24"/>
          <w:highlight w:val="none"/>
          <w:u w:val="single"/>
        </w:rPr>
        <w:t xml:space="preserve">     </w:t>
      </w:r>
      <w:r>
        <w:rPr>
          <w:rFonts w:hint="eastAsia" w:ascii="宋体" w:hAnsi="宋体" w:eastAsia="宋体" w:cs="宋体"/>
          <w:b w:val="0"/>
          <w:color w:val="auto"/>
          <w:sz w:val="24"/>
          <w:szCs w:val="24"/>
          <w:highlight w:val="none"/>
        </w:rPr>
        <w:t>日</w:t>
      </w:r>
    </w:p>
    <w:p w14:paraId="2260FC1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工期总日历天数：</w:t>
      </w:r>
      <w:r>
        <w:rPr>
          <w:rFonts w:hint="eastAsia" w:ascii="宋体" w:hAnsi="宋体" w:cs="宋体"/>
          <w:b w:val="0"/>
          <w:color w:val="auto"/>
          <w:sz w:val="24"/>
          <w:szCs w:val="24"/>
          <w:highlight w:val="none"/>
          <w:u w:val="single"/>
          <w:lang w:val="en-US" w:eastAsia="zh-CN"/>
        </w:rPr>
        <w:t xml:space="preserve">      </w:t>
      </w:r>
      <w:r>
        <w:rPr>
          <w:rFonts w:hint="eastAsia" w:ascii="宋体" w:hAnsi="宋体" w:cs="宋体"/>
          <w:b w:val="0"/>
          <w:color w:val="auto"/>
          <w:sz w:val="24"/>
          <w:szCs w:val="24"/>
          <w:highlight w:val="none"/>
          <w:u w:val="none"/>
          <w:lang w:val="en-US" w:eastAsia="zh-CN"/>
        </w:rPr>
        <w:t>日历</w:t>
      </w:r>
      <w:r>
        <w:rPr>
          <w:rFonts w:hint="eastAsia" w:ascii="宋体" w:hAnsi="宋体" w:eastAsia="宋体" w:cs="宋体"/>
          <w:b w:val="0"/>
          <w:color w:val="auto"/>
          <w:sz w:val="24"/>
          <w:szCs w:val="24"/>
          <w:highlight w:val="none"/>
        </w:rPr>
        <w:t>天。工期总日历天数与根据前述计划开竣工日期计算的工期天数不一致的，以实际工期为准。实际工期从全部日历天数中扣除节假日未施工的天数及因设计、材料、气候等原因停工的天数。</w:t>
      </w:r>
    </w:p>
    <w:p w14:paraId="54DFB38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三、质量标准</w:t>
      </w:r>
    </w:p>
    <w:p w14:paraId="001BB0D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工程质量</w:t>
      </w:r>
      <w:r>
        <w:rPr>
          <w:rFonts w:hint="eastAsia" w:ascii="宋体" w:hAnsi="宋体" w:cs="宋体"/>
          <w:b w:val="0"/>
          <w:color w:val="auto"/>
          <w:sz w:val="24"/>
          <w:szCs w:val="24"/>
          <w:highlight w:val="none"/>
          <w:lang w:val="en-US" w:eastAsia="zh-CN"/>
        </w:rPr>
        <w:t>:</w:t>
      </w:r>
      <w:r>
        <w:rPr>
          <w:rFonts w:hint="eastAsia" w:ascii="宋体" w:hAnsi="宋体" w:cs="宋体"/>
          <w:b w:val="0"/>
          <w:color w:val="auto"/>
          <w:sz w:val="24"/>
          <w:szCs w:val="24"/>
          <w:highlight w:val="none"/>
          <w:u w:val="single"/>
          <w:lang w:val="en-US" w:eastAsia="zh-CN"/>
        </w:rPr>
        <w:t xml:space="preserve">                     </w:t>
      </w:r>
      <w:r>
        <w:rPr>
          <w:rFonts w:hint="eastAsia" w:ascii="宋体" w:hAnsi="宋体" w:eastAsia="宋体" w:cs="宋体"/>
          <w:b w:val="0"/>
          <w:color w:val="auto"/>
          <w:sz w:val="24"/>
          <w:szCs w:val="24"/>
          <w:highlight w:val="none"/>
        </w:rPr>
        <w:t>。</w:t>
      </w:r>
    </w:p>
    <w:p w14:paraId="26D931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四、签约合同价</w:t>
      </w:r>
    </w:p>
    <w:p w14:paraId="31770F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签约合同价为：</w:t>
      </w:r>
    </w:p>
    <w:p w14:paraId="1B27862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人民币（大写）：</w:t>
      </w:r>
      <w:r>
        <w:rPr>
          <w:rFonts w:hint="eastAsia" w:ascii="宋体" w:hAnsi="宋体" w:cs="宋体"/>
          <w:b w:val="0"/>
          <w:color w:val="auto"/>
          <w:sz w:val="24"/>
          <w:szCs w:val="24"/>
          <w:highlight w:val="none"/>
          <w:u w:val="single"/>
          <w:lang w:val="en-US" w:eastAsia="zh-CN"/>
        </w:rPr>
        <w:t xml:space="preserve">                     </w:t>
      </w:r>
    </w:p>
    <w:p w14:paraId="6D59A3C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（小写）：¥</w:t>
      </w:r>
      <w:r>
        <w:rPr>
          <w:rFonts w:hint="eastAsia" w:ascii="宋体" w:hAnsi="宋体" w:cs="宋体"/>
          <w:b w:val="0"/>
          <w:color w:val="auto"/>
          <w:sz w:val="24"/>
          <w:szCs w:val="24"/>
          <w:highlight w:val="none"/>
          <w:u w:val="single"/>
          <w:lang w:val="en-US" w:eastAsia="zh-CN"/>
        </w:rPr>
        <w:t xml:space="preserve">                     </w:t>
      </w:r>
    </w:p>
    <w:p w14:paraId="77DFFD7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五、项目经理</w:t>
      </w:r>
    </w:p>
    <w:p w14:paraId="782981C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承包人项目经理：</w:t>
      </w:r>
      <w:r>
        <w:rPr>
          <w:rFonts w:hint="eastAsia" w:ascii="宋体" w:hAnsi="宋体" w:cs="宋体"/>
          <w:b w:val="0"/>
          <w:color w:val="auto"/>
          <w:sz w:val="24"/>
          <w:szCs w:val="24"/>
          <w:highlight w:val="none"/>
          <w:u w:val="single"/>
          <w:lang w:val="en-US" w:eastAsia="zh-CN"/>
        </w:rPr>
        <w:t xml:space="preserve">                  </w:t>
      </w:r>
      <w:r>
        <w:rPr>
          <w:rFonts w:hint="eastAsia" w:ascii="宋体" w:hAnsi="宋体" w:eastAsia="宋体" w:cs="宋体"/>
          <w:b w:val="0"/>
          <w:color w:val="auto"/>
          <w:sz w:val="24"/>
          <w:szCs w:val="24"/>
          <w:highlight w:val="none"/>
        </w:rPr>
        <w:t>。</w:t>
      </w:r>
    </w:p>
    <w:p w14:paraId="2D6942D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六、合同文件构成</w:t>
      </w:r>
    </w:p>
    <w:p w14:paraId="1D9EC9E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本协议书与下列文件一起构成合同文件：</w:t>
      </w:r>
    </w:p>
    <w:p w14:paraId="18AFB51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w:t>
      </w:r>
      <w:r>
        <w:rPr>
          <w:rFonts w:hint="eastAsia" w:ascii="宋体" w:hAnsi="宋体" w:cs="宋体"/>
          <w:b w:val="0"/>
          <w:color w:val="auto"/>
          <w:sz w:val="24"/>
          <w:szCs w:val="24"/>
          <w:highlight w:val="none"/>
          <w:lang w:eastAsia="zh-CN"/>
        </w:rPr>
        <w:t>成交通知书</w:t>
      </w:r>
      <w:r>
        <w:rPr>
          <w:rFonts w:hint="eastAsia" w:ascii="宋体" w:hAnsi="宋体" w:eastAsia="宋体" w:cs="宋体"/>
          <w:b w:val="0"/>
          <w:color w:val="auto"/>
          <w:sz w:val="24"/>
          <w:szCs w:val="24"/>
          <w:highlight w:val="none"/>
        </w:rPr>
        <w:t>；</w:t>
      </w:r>
    </w:p>
    <w:p w14:paraId="3406D6A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 xml:space="preserve">（2）投标函及其附录； </w:t>
      </w:r>
    </w:p>
    <w:p w14:paraId="11671AF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（3）专用合同条款及其附件；</w:t>
      </w:r>
    </w:p>
    <w:p w14:paraId="1E5E5BE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（4）通用合同条款；</w:t>
      </w:r>
    </w:p>
    <w:p w14:paraId="7BED6B7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（5）技术标准和要求；</w:t>
      </w:r>
    </w:p>
    <w:p w14:paraId="5B3E99A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（6）图纸；</w:t>
      </w:r>
    </w:p>
    <w:p w14:paraId="548A88D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（7）已标价工程量清单或预算书；</w:t>
      </w:r>
    </w:p>
    <w:p w14:paraId="5030CC2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（8）其他合同文件。</w:t>
      </w:r>
    </w:p>
    <w:p w14:paraId="434FD00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在合同订立及履行过程中形成的与合同有关的文件均构成合同文件组成部分。</w:t>
      </w:r>
    </w:p>
    <w:p w14:paraId="159232E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12B1641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七、承诺</w:t>
      </w:r>
    </w:p>
    <w:p w14:paraId="44F42D1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1.发包人承诺按照法律规定履行项目审批手续、筹集工程建设资金并按照合同约定的期限和方式支付合同价款。</w:t>
      </w:r>
    </w:p>
    <w:p w14:paraId="56186CA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2.承包人承诺按照法律规定及合同约定组织完成工程施工，确保工程质量和安全，不进行转包及违法分包，并在缺陷责任期及保修期内承担相应的工程维修责任。</w:t>
      </w:r>
    </w:p>
    <w:p w14:paraId="3498EED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3.发包人和承包人通过招投标形式签订合同的，双方理解并承诺不再就同一工程另行签订与合同实质性内容相背离的协议。</w:t>
      </w:r>
    </w:p>
    <w:p w14:paraId="2B87E0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八、词语含义</w:t>
      </w:r>
    </w:p>
    <w:p w14:paraId="341224D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本协议书中词语含义与第二部分通用合同条款中赋予的含义相同。</w:t>
      </w:r>
    </w:p>
    <w:p w14:paraId="4864EC7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九、签订时间</w:t>
      </w:r>
    </w:p>
    <w:p w14:paraId="1E63EE6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本合同于</w:t>
      </w:r>
      <w:r>
        <w:rPr>
          <w:rFonts w:hint="eastAsia" w:ascii="宋体" w:hAnsi="宋体" w:cs="宋体"/>
          <w:b w:val="0"/>
          <w:color w:val="auto"/>
          <w:sz w:val="24"/>
          <w:szCs w:val="24"/>
          <w:highlight w:val="none"/>
          <w:u w:val="single"/>
          <w:lang w:val="en-US" w:eastAsia="zh-CN"/>
        </w:rPr>
        <w:t xml:space="preserve">      </w:t>
      </w:r>
      <w:r>
        <w:rPr>
          <w:rFonts w:hint="eastAsia" w:ascii="宋体" w:hAnsi="宋体" w:eastAsia="宋体" w:cs="宋体"/>
          <w:b w:val="0"/>
          <w:color w:val="auto"/>
          <w:sz w:val="24"/>
          <w:szCs w:val="24"/>
          <w:highlight w:val="none"/>
        </w:rPr>
        <w:t>年</w:t>
      </w:r>
      <w:r>
        <w:rPr>
          <w:rFonts w:hint="eastAsia" w:ascii="宋体" w:hAnsi="宋体" w:cs="宋体"/>
          <w:b w:val="0"/>
          <w:color w:val="auto"/>
          <w:sz w:val="24"/>
          <w:szCs w:val="24"/>
          <w:highlight w:val="none"/>
          <w:u w:val="single"/>
          <w:lang w:val="en-US" w:eastAsia="zh-CN"/>
        </w:rPr>
        <w:t xml:space="preserve">     </w:t>
      </w:r>
      <w:r>
        <w:rPr>
          <w:rFonts w:hint="eastAsia" w:ascii="宋体" w:hAnsi="宋体" w:eastAsia="宋体" w:cs="宋体"/>
          <w:b w:val="0"/>
          <w:color w:val="auto"/>
          <w:sz w:val="24"/>
          <w:szCs w:val="24"/>
          <w:highlight w:val="none"/>
        </w:rPr>
        <w:t>月</w:t>
      </w:r>
      <w:r>
        <w:rPr>
          <w:rFonts w:hint="eastAsia" w:ascii="宋体" w:hAnsi="宋体" w:cs="宋体"/>
          <w:b w:val="0"/>
          <w:color w:val="auto"/>
          <w:sz w:val="24"/>
          <w:szCs w:val="24"/>
          <w:highlight w:val="none"/>
          <w:u w:val="single"/>
          <w:lang w:val="en-US" w:eastAsia="zh-CN"/>
        </w:rPr>
        <w:t xml:space="preserve">      </w:t>
      </w:r>
      <w:r>
        <w:rPr>
          <w:rFonts w:hint="eastAsia" w:ascii="宋体" w:hAnsi="宋体" w:eastAsia="宋体" w:cs="宋体"/>
          <w:b w:val="0"/>
          <w:color w:val="auto"/>
          <w:sz w:val="24"/>
          <w:szCs w:val="24"/>
          <w:highlight w:val="none"/>
        </w:rPr>
        <w:t>日签订。</w:t>
      </w:r>
    </w:p>
    <w:p w14:paraId="270CD6C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十、签订地点</w:t>
      </w:r>
    </w:p>
    <w:p w14:paraId="53D085F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本合同在</w:t>
      </w:r>
      <w:r>
        <w:rPr>
          <w:rFonts w:hint="eastAsia" w:ascii="宋体" w:hAnsi="宋体" w:cs="宋体"/>
          <w:b w:val="0"/>
          <w:color w:val="auto"/>
          <w:sz w:val="24"/>
          <w:szCs w:val="24"/>
          <w:highlight w:val="none"/>
          <w:u w:val="single"/>
          <w:lang w:val="en-US" w:eastAsia="zh-CN"/>
        </w:rPr>
        <w:t xml:space="preserve">                       </w:t>
      </w:r>
      <w:r>
        <w:rPr>
          <w:rFonts w:hint="eastAsia" w:ascii="宋体" w:hAnsi="宋体" w:eastAsia="宋体" w:cs="宋体"/>
          <w:b w:val="0"/>
          <w:color w:val="auto"/>
          <w:sz w:val="24"/>
          <w:szCs w:val="24"/>
          <w:highlight w:val="none"/>
        </w:rPr>
        <w:t>签订。</w:t>
      </w:r>
    </w:p>
    <w:p w14:paraId="22802E7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十一、补充协议</w:t>
      </w:r>
    </w:p>
    <w:p w14:paraId="59C5E05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合同未尽事宜，合同当事人另行签订补充协议，补充协议是合同的组成部分。</w:t>
      </w:r>
    </w:p>
    <w:p w14:paraId="717B90B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十二、合同生效</w:t>
      </w:r>
    </w:p>
    <w:p w14:paraId="5281D2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本合同自签字盖章后生效。</w:t>
      </w:r>
    </w:p>
    <w:p w14:paraId="315E413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十三、合同份数</w:t>
      </w:r>
    </w:p>
    <w:p w14:paraId="3E9BAC0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本合同一式</w:t>
      </w:r>
      <w:r>
        <w:rPr>
          <w:rFonts w:hint="eastAsia" w:ascii="宋体" w:hAnsi="宋体" w:eastAsia="宋体" w:cs="宋体"/>
          <w:b w:val="0"/>
          <w:color w:val="auto"/>
          <w:sz w:val="24"/>
          <w:szCs w:val="24"/>
          <w:highlight w:val="none"/>
          <w:u w:val="single"/>
        </w:rPr>
        <w:t xml:space="preserve"> </w:t>
      </w:r>
      <w:r>
        <w:rPr>
          <w:rFonts w:hint="eastAsia" w:ascii="宋体" w:hAnsi="宋体" w:cs="宋体"/>
          <w:b w:val="0"/>
          <w:color w:val="auto"/>
          <w:sz w:val="24"/>
          <w:szCs w:val="24"/>
          <w:highlight w:val="none"/>
          <w:u w:val="single"/>
          <w:lang w:val="en-US" w:eastAsia="zh-CN"/>
        </w:rPr>
        <w:t xml:space="preserve"> </w:t>
      </w:r>
      <w:r>
        <w:rPr>
          <w:rFonts w:hint="eastAsia" w:ascii="宋体" w:hAnsi="宋体" w:eastAsia="宋体" w:cs="宋体"/>
          <w:b w:val="0"/>
          <w:color w:val="auto"/>
          <w:sz w:val="24"/>
          <w:szCs w:val="24"/>
          <w:highlight w:val="none"/>
          <w:u w:val="single"/>
        </w:rPr>
        <w:t xml:space="preserve"> </w:t>
      </w:r>
      <w:r>
        <w:rPr>
          <w:rFonts w:hint="eastAsia" w:ascii="宋体" w:hAnsi="宋体" w:eastAsia="宋体" w:cs="宋体"/>
          <w:b w:val="0"/>
          <w:color w:val="auto"/>
          <w:sz w:val="24"/>
          <w:szCs w:val="24"/>
          <w:highlight w:val="none"/>
        </w:rPr>
        <w:t>份，均具有同等法律效力，发包人执</w:t>
      </w:r>
      <w:r>
        <w:rPr>
          <w:rFonts w:hint="eastAsia" w:ascii="宋体" w:hAnsi="宋体" w:eastAsia="宋体" w:cs="宋体"/>
          <w:b w:val="0"/>
          <w:color w:val="auto"/>
          <w:sz w:val="24"/>
          <w:szCs w:val="24"/>
          <w:highlight w:val="none"/>
          <w:u w:val="single"/>
        </w:rPr>
        <w:t xml:space="preserve"> </w:t>
      </w:r>
      <w:r>
        <w:rPr>
          <w:rFonts w:hint="eastAsia" w:ascii="宋体" w:hAnsi="宋体" w:cs="宋体"/>
          <w:b w:val="0"/>
          <w:color w:val="auto"/>
          <w:sz w:val="24"/>
          <w:szCs w:val="24"/>
          <w:highlight w:val="none"/>
          <w:u w:val="single"/>
          <w:lang w:val="en-US" w:eastAsia="zh-CN"/>
        </w:rPr>
        <w:t xml:space="preserve"> </w:t>
      </w:r>
      <w:r>
        <w:rPr>
          <w:rFonts w:hint="eastAsia" w:ascii="宋体" w:hAnsi="宋体" w:eastAsia="宋体" w:cs="宋体"/>
          <w:b w:val="0"/>
          <w:color w:val="auto"/>
          <w:sz w:val="24"/>
          <w:szCs w:val="24"/>
          <w:highlight w:val="none"/>
          <w:u w:val="single"/>
        </w:rPr>
        <w:t xml:space="preserve"> </w:t>
      </w:r>
      <w:r>
        <w:rPr>
          <w:rFonts w:hint="eastAsia" w:ascii="宋体" w:hAnsi="宋体" w:eastAsia="宋体" w:cs="宋体"/>
          <w:b w:val="0"/>
          <w:color w:val="auto"/>
          <w:sz w:val="24"/>
          <w:szCs w:val="24"/>
          <w:highlight w:val="none"/>
        </w:rPr>
        <w:t>份，承包人执</w:t>
      </w:r>
      <w:r>
        <w:rPr>
          <w:rFonts w:hint="eastAsia" w:ascii="宋体" w:hAnsi="宋体" w:eastAsia="宋体" w:cs="宋体"/>
          <w:b w:val="0"/>
          <w:color w:val="auto"/>
          <w:sz w:val="24"/>
          <w:szCs w:val="24"/>
          <w:highlight w:val="none"/>
          <w:u w:val="single"/>
        </w:rPr>
        <w:t xml:space="preserve"> </w:t>
      </w:r>
      <w:r>
        <w:rPr>
          <w:rFonts w:hint="eastAsia" w:ascii="宋体" w:hAnsi="宋体" w:cs="宋体"/>
          <w:b w:val="0"/>
          <w:color w:val="auto"/>
          <w:sz w:val="24"/>
          <w:szCs w:val="24"/>
          <w:highlight w:val="none"/>
          <w:u w:val="single"/>
          <w:lang w:val="en-US" w:eastAsia="zh-CN"/>
        </w:rPr>
        <w:t xml:space="preserve"> </w:t>
      </w:r>
      <w:r>
        <w:rPr>
          <w:rFonts w:hint="eastAsia" w:ascii="宋体" w:hAnsi="宋体" w:eastAsia="宋体" w:cs="宋体"/>
          <w:b w:val="0"/>
          <w:color w:val="auto"/>
          <w:sz w:val="24"/>
          <w:szCs w:val="24"/>
          <w:highlight w:val="none"/>
          <w:u w:val="single"/>
        </w:rPr>
        <w:t xml:space="preserve"> </w:t>
      </w:r>
      <w:r>
        <w:rPr>
          <w:rFonts w:hint="eastAsia" w:ascii="宋体" w:hAnsi="宋体" w:eastAsia="宋体" w:cs="宋体"/>
          <w:b w:val="0"/>
          <w:color w:val="auto"/>
          <w:sz w:val="24"/>
          <w:szCs w:val="24"/>
          <w:highlight w:val="none"/>
        </w:rPr>
        <w:t>份。</w:t>
      </w:r>
    </w:p>
    <w:tbl>
      <w:tblPr>
        <w:tblStyle w:val="5"/>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14:paraId="328E7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5" w:hRule="atLeast"/>
          <w:jc w:val="center"/>
        </w:trPr>
        <w:tc>
          <w:tcPr>
            <w:tcW w:w="4261" w:type="dxa"/>
            <w:noWrap w:val="0"/>
            <w:vAlign w:val="top"/>
          </w:tcPr>
          <w:p w14:paraId="74032F5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发包人：</w:t>
            </w:r>
            <w:r>
              <w:rPr>
                <w:rFonts w:hint="eastAsia" w:ascii="宋体" w:hAnsi="宋体" w:cs="宋体"/>
                <w:b w:val="0"/>
                <w:color w:val="auto"/>
                <w:sz w:val="24"/>
                <w:szCs w:val="24"/>
                <w:highlight w:val="none"/>
                <w:lang w:val="en-US" w:eastAsia="zh-CN"/>
              </w:rPr>
              <w:t xml:space="preserve">               </w:t>
            </w:r>
            <w:r>
              <w:rPr>
                <w:rFonts w:hint="eastAsia" w:ascii="宋体" w:hAnsi="宋体" w:eastAsia="宋体" w:cs="宋体"/>
                <w:b w:val="0"/>
                <w:color w:val="auto"/>
                <w:sz w:val="24"/>
                <w:szCs w:val="24"/>
                <w:highlight w:val="none"/>
              </w:rPr>
              <w:t>（盖章）</w:t>
            </w:r>
          </w:p>
          <w:p w14:paraId="42765F0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p>
          <w:p w14:paraId="5808D22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法定代表人或其委托代理人：</w:t>
            </w:r>
          </w:p>
          <w:p w14:paraId="4441601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（签字</w:t>
            </w:r>
            <w:r>
              <w:rPr>
                <w:rFonts w:hint="eastAsia" w:ascii="宋体" w:hAnsi="宋体" w:cs="宋体"/>
                <w:b w:val="0"/>
                <w:color w:val="auto"/>
                <w:sz w:val="24"/>
                <w:szCs w:val="24"/>
                <w:highlight w:val="none"/>
                <w:lang w:eastAsia="zh-CN"/>
              </w:rPr>
              <w:t>或盖章</w:t>
            </w:r>
            <w:r>
              <w:rPr>
                <w:rFonts w:hint="eastAsia" w:ascii="宋体" w:hAnsi="宋体" w:eastAsia="宋体" w:cs="宋体"/>
                <w:b w:val="0"/>
                <w:color w:val="auto"/>
                <w:sz w:val="24"/>
                <w:szCs w:val="24"/>
                <w:highlight w:val="none"/>
              </w:rPr>
              <w:t>）</w:t>
            </w:r>
          </w:p>
          <w:p w14:paraId="15495DB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社会统一信用代码：</w:t>
            </w:r>
          </w:p>
          <w:p w14:paraId="31B472F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地址：</w:t>
            </w:r>
          </w:p>
          <w:p w14:paraId="15581424">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邮政编码：</w:t>
            </w:r>
          </w:p>
          <w:p w14:paraId="5CDCF60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联系电话：</w:t>
            </w:r>
          </w:p>
          <w:p w14:paraId="73598F4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开户行：</w:t>
            </w:r>
          </w:p>
          <w:p w14:paraId="175A1A6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b w:val="0"/>
                <w:color w:val="auto"/>
                <w:sz w:val="24"/>
                <w:szCs w:val="24"/>
                <w:highlight w:val="none"/>
                <w:vertAlign w:val="baseline"/>
              </w:rPr>
            </w:pPr>
            <w:r>
              <w:rPr>
                <w:rFonts w:hint="eastAsia" w:ascii="宋体" w:hAnsi="宋体" w:eastAsia="宋体" w:cs="宋体"/>
                <w:b w:val="0"/>
                <w:color w:val="auto"/>
                <w:sz w:val="24"/>
                <w:szCs w:val="24"/>
                <w:highlight w:val="none"/>
              </w:rPr>
              <w:t>银行账号：</w:t>
            </w:r>
          </w:p>
        </w:tc>
        <w:tc>
          <w:tcPr>
            <w:tcW w:w="4261" w:type="dxa"/>
            <w:noWrap w:val="0"/>
            <w:vAlign w:val="top"/>
          </w:tcPr>
          <w:p w14:paraId="05F07E1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承包人：</w:t>
            </w:r>
            <w:r>
              <w:rPr>
                <w:rFonts w:hint="eastAsia" w:ascii="宋体" w:hAnsi="宋体" w:cs="宋体"/>
                <w:b w:val="0"/>
                <w:color w:val="auto"/>
                <w:sz w:val="24"/>
                <w:szCs w:val="24"/>
                <w:highlight w:val="none"/>
                <w:lang w:val="en-US" w:eastAsia="zh-CN"/>
              </w:rPr>
              <w:t xml:space="preserve">               </w:t>
            </w:r>
            <w:r>
              <w:rPr>
                <w:rFonts w:hint="eastAsia" w:ascii="宋体" w:hAnsi="宋体" w:eastAsia="宋体" w:cs="宋体"/>
                <w:b w:val="0"/>
                <w:color w:val="auto"/>
                <w:sz w:val="24"/>
                <w:szCs w:val="24"/>
                <w:highlight w:val="none"/>
              </w:rPr>
              <w:t>（盖章）</w:t>
            </w:r>
          </w:p>
          <w:p w14:paraId="015F4332">
            <w:pPr>
              <w:pStyle w:val="2"/>
              <w:rPr>
                <w:rFonts w:hint="eastAsia" w:ascii="宋体" w:hAnsi="宋体" w:eastAsia="宋体" w:cs="宋体"/>
                <w:b w:val="0"/>
                <w:color w:val="auto"/>
                <w:sz w:val="24"/>
                <w:szCs w:val="24"/>
                <w:highlight w:val="none"/>
              </w:rPr>
            </w:pPr>
          </w:p>
          <w:p w14:paraId="2D33665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法定代表人或其委托代理人：</w:t>
            </w:r>
          </w:p>
          <w:p w14:paraId="15EF948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（签字</w:t>
            </w:r>
            <w:r>
              <w:rPr>
                <w:rFonts w:hint="eastAsia" w:ascii="宋体" w:hAnsi="宋体" w:cs="宋体"/>
                <w:b w:val="0"/>
                <w:color w:val="auto"/>
                <w:sz w:val="24"/>
                <w:szCs w:val="24"/>
                <w:highlight w:val="none"/>
                <w:lang w:eastAsia="zh-CN"/>
              </w:rPr>
              <w:t>或盖章</w:t>
            </w:r>
            <w:r>
              <w:rPr>
                <w:rFonts w:hint="eastAsia" w:ascii="宋体" w:hAnsi="宋体" w:eastAsia="宋体" w:cs="宋体"/>
                <w:b w:val="0"/>
                <w:color w:val="auto"/>
                <w:sz w:val="24"/>
                <w:szCs w:val="24"/>
                <w:highlight w:val="none"/>
              </w:rPr>
              <w:t>）</w:t>
            </w:r>
          </w:p>
          <w:p w14:paraId="05382EF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社会统一信用代码：</w:t>
            </w:r>
          </w:p>
          <w:p w14:paraId="44DFF41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地址：</w:t>
            </w:r>
          </w:p>
          <w:p w14:paraId="091EEF3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邮政编码：</w:t>
            </w:r>
          </w:p>
          <w:p w14:paraId="7513AAD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联系电话：</w:t>
            </w:r>
          </w:p>
          <w:p w14:paraId="3FF4FBB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jc w:val="both"/>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开户行：</w:t>
            </w:r>
          </w:p>
          <w:p w14:paraId="759C5A0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jc w:val="both"/>
              <w:textAlignment w:val="auto"/>
              <w:outlineLvl w:val="9"/>
              <w:rPr>
                <w:rFonts w:hint="eastAsia"/>
              </w:rPr>
            </w:pPr>
            <w:r>
              <w:rPr>
                <w:rFonts w:hint="eastAsia" w:ascii="宋体" w:hAnsi="宋体" w:eastAsia="宋体" w:cs="宋体"/>
                <w:b w:val="0"/>
                <w:color w:val="auto"/>
                <w:sz w:val="24"/>
                <w:szCs w:val="24"/>
                <w:highlight w:val="none"/>
              </w:rPr>
              <w:t xml:space="preserve">银行账号： </w:t>
            </w:r>
          </w:p>
        </w:tc>
      </w:tr>
    </w:tbl>
    <w:p w14:paraId="4EA2B41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p>
    <w:p w14:paraId="69C7927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p>
    <w:p w14:paraId="79BB1F1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p>
    <w:p w14:paraId="5DCE537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p>
    <w:p w14:paraId="401ADDB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p>
    <w:p w14:paraId="67B8C2E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p>
    <w:p w14:paraId="4AF097D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b w:val="0"/>
          <w:color w:val="auto"/>
          <w:sz w:val="24"/>
          <w:szCs w:val="24"/>
          <w:highlight w:val="none"/>
        </w:rPr>
      </w:pPr>
    </w:p>
    <w:p w14:paraId="35A3E34B">
      <w:pPr>
        <w:numPr>
          <w:ilvl w:val="0"/>
          <w:numId w:val="0"/>
        </w:numPr>
        <w:spacing w:line="360" w:lineRule="auto"/>
        <w:jc w:val="center"/>
        <w:outlineLvl w:val="9"/>
        <w:rPr>
          <w:rFonts w:hint="eastAsia" w:ascii="宋体" w:hAnsi="宋体" w:eastAsia="宋体" w:cs="宋体"/>
          <w:b/>
          <w:bCs/>
          <w:color w:val="auto"/>
          <w:sz w:val="24"/>
          <w:szCs w:val="24"/>
          <w:highlight w:val="none"/>
        </w:rPr>
      </w:pPr>
    </w:p>
    <w:p w14:paraId="33424586">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37DD9424">
      <w:pPr>
        <w:numPr>
          <w:ilvl w:val="0"/>
          <w:numId w:val="0"/>
        </w:numPr>
        <w:spacing w:line="360" w:lineRule="auto"/>
        <w:jc w:val="center"/>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第二部分 通用合同条款</w:t>
      </w:r>
    </w:p>
    <w:p w14:paraId="7B0A6679">
      <w:pPr>
        <w:jc w:val="center"/>
        <w:rPr>
          <w:rFonts w:hint="eastAsia" w:ascii="宋体" w:hAnsi="宋体" w:cs="宋体"/>
          <w:b/>
          <w:bCs/>
          <w:color w:val="auto"/>
          <w:sz w:val="24"/>
          <w:szCs w:val="24"/>
          <w:highlight w:val="none"/>
          <w:lang w:eastAsia="zh-CN"/>
        </w:rPr>
      </w:pPr>
    </w:p>
    <w:p w14:paraId="2E72C1D0">
      <w:pPr>
        <w:jc w:val="center"/>
        <w:rPr>
          <w:rFonts w:hint="eastAsia" w:ascii="宋体" w:hAnsi="宋体" w:eastAsia="宋体" w:cs="宋体"/>
          <w:b w:val="0"/>
          <w:bCs w:val="0"/>
          <w:color w:val="auto"/>
          <w:sz w:val="24"/>
          <w:szCs w:val="24"/>
          <w:highlight w:val="none"/>
          <w:lang w:eastAsia="zh-CN"/>
        </w:rPr>
      </w:pP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略，详见GF-2017-0201</w:t>
      </w:r>
      <w:r>
        <w:rPr>
          <w:rFonts w:hint="eastAsia" w:ascii="宋体" w:hAnsi="宋体" w:cs="宋体"/>
          <w:b w:val="0"/>
          <w:bCs w:val="0"/>
          <w:color w:val="auto"/>
          <w:sz w:val="24"/>
          <w:szCs w:val="24"/>
          <w:highlight w:val="none"/>
          <w:lang w:eastAsia="zh-CN"/>
        </w:rPr>
        <w:t>）</w:t>
      </w:r>
    </w:p>
    <w:p w14:paraId="674DDD85">
      <w:pPr>
        <w:numPr>
          <w:ilvl w:val="0"/>
          <w:numId w:val="0"/>
        </w:numPr>
        <w:spacing w:line="360" w:lineRule="auto"/>
        <w:jc w:val="center"/>
        <w:outlineLvl w:val="9"/>
        <w:rPr>
          <w:rFonts w:hint="eastAsia" w:ascii="宋体" w:hAnsi="宋体" w:eastAsia="宋体" w:cs="宋体"/>
          <w:b/>
          <w:bCs/>
          <w:color w:val="auto"/>
          <w:sz w:val="24"/>
          <w:szCs w:val="24"/>
          <w:highlight w:val="none"/>
        </w:rPr>
      </w:pPr>
    </w:p>
    <w:p w14:paraId="4AA677D5">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12EA64DC">
      <w:pPr>
        <w:numPr>
          <w:ilvl w:val="0"/>
          <w:numId w:val="0"/>
        </w:numPr>
        <w:spacing w:line="360" w:lineRule="auto"/>
        <w:jc w:val="center"/>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第三部分 专用合同条款</w:t>
      </w:r>
    </w:p>
    <w:p w14:paraId="5B934BF6">
      <w:pPr>
        <w:numPr>
          <w:ilvl w:val="0"/>
          <w:numId w:val="0"/>
        </w:numPr>
        <w:spacing w:line="360" w:lineRule="auto"/>
        <w:jc w:val="center"/>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（只列出了主要合同专用条款，其余条款见GF-2017-0201）</w:t>
      </w:r>
    </w:p>
    <w:p w14:paraId="5409C0F5">
      <w:pPr>
        <w:numPr>
          <w:ilvl w:val="3"/>
          <w:numId w:val="1"/>
        </w:numPr>
        <w:spacing w:before="0" w:after="0" w:line="360" w:lineRule="auto"/>
        <w:outlineLvl w:val="9"/>
        <w:rPr>
          <w:rFonts w:hint="eastAsia" w:ascii="宋体" w:hAnsi="宋体" w:eastAsia="宋体" w:cs="宋体"/>
          <w:b w:val="0"/>
          <w:color w:val="auto"/>
          <w:sz w:val="24"/>
          <w:szCs w:val="24"/>
          <w:highlight w:val="none"/>
        </w:rPr>
      </w:pPr>
      <w:bookmarkStart w:id="0" w:name="_Toc351203633"/>
      <w:r>
        <w:rPr>
          <w:rFonts w:hint="eastAsia" w:ascii="宋体" w:hAnsi="宋体" w:eastAsia="宋体" w:cs="宋体"/>
          <w:b w:val="0"/>
          <w:color w:val="auto"/>
          <w:sz w:val="24"/>
          <w:szCs w:val="24"/>
          <w:highlight w:val="none"/>
        </w:rPr>
        <w:t>1</w:t>
      </w:r>
      <w:bookmarkStart w:id="1" w:name="_Toc296503156"/>
      <w:bookmarkStart w:id="2" w:name="_Toc296346657"/>
      <w:bookmarkStart w:id="3" w:name="_Toc292559361"/>
      <w:bookmarkStart w:id="4" w:name="_Toc296944495"/>
      <w:bookmarkStart w:id="5" w:name="_Toc297120456"/>
      <w:bookmarkStart w:id="6" w:name="_Toc297048342"/>
      <w:bookmarkStart w:id="7" w:name="_Toc296890984"/>
      <w:bookmarkStart w:id="8" w:name="_Toc292559866"/>
      <w:bookmarkStart w:id="9" w:name="_Toc296891196"/>
      <w:bookmarkStart w:id="10" w:name="_Toc296347155"/>
      <w:r>
        <w:rPr>
          <w:rFonts w:hint="eastAsia" w:ascii="宋体" w:hAnsi="宋体" w:eastAsia="宋体" w:cs="宋体"/>
          <w:b w:val="0"/>
          <w:color w:val="auto"/>
          <w:sz w:val="24"/>
          <w:szCs w:val="24"/>
          <w:highlight w:val="none"/>
        </w:rPr>
        <w:t>. 一般约定</w:t>
      </w:r>
      <w:bookmarkEnd w:id="0"/>
    </w:p>
    <w:bookmarkEnd w:id="1"/>
    <w:bookmarkEnd w:id="2"/>
    <w:bookmarkEnd w:id="3"/>
    <w:bookmarkEnd w:id="4"/>
    <w:bookmarkEnd w:id="5"/>
    <w:bookmarkEnd w:id="6"/>
    <w:bookmarkEnd w:id="7"/>
    <w:bookmarkEnd w:id="8"/>
    <w:bookmarkEnd w:id="9"/>
    <w:bookmarkEnd w:id="10"/>
    <w:p w14:paraId="578E2653">
      <w:pPr>
        <w:spacing w:line="360" w:lineRule="auto"/>
        <w:ind w:firstLine="480" w:firstLineChars="200"/>
        <w:outlineLvl w:val="9"/>
        <w:rPr>
          <w:rFonts w:hint="eastAsia" w:ascii="宋体" w:hAnsi="宋体" w:eastAsia="宋体" w:cs="宋体"/>
          <w:color w:val="auto"/>
          <w:sz w:val="24"/>
          <w:szCs w:val="24"/>
          <w:highlight w:val="none"/>
        </w:rPr>
      </w:pPr>
      <w:bookmarkStart w:id="11" w:name="_Toc30154"/>
      <w:bookmarkStart w:id="12" w:name="_Toc3991"/>
      <w:bookmarkStart w:id="13" w:name="_Toc510449970"/>
      <w:bookmarkStart w:id="14" w:name="_Toc508703892"/>
      <w:bookmarkStart w:id="15" w:name="_Toc508702734"/>
      <w:bookmarkStart w:id="16" w:name="_Toc31580"/>
      <w:r>
        <w:rPr>
          <w:rFonts w:hint="eastAsia" w:ascii="宋体" w:hAnsi="宋体" w:eastAsia="宋体" w:cs="宋体"/>
          <w:color w:val="auto"/>
          <w:sz w:val="24"/>
          <w:szCs w:val="24"/>
          <w:highlight w:val="none"/>
        </w:rPr>
        <w:t>1.1 词语定义</w:t>
      </w:r>
      <w:bookmarkEnd w:id="11"/>
      <w:bookmarkEnd w:id="12"/>
      <w:bookmarkEnd w:id="13"/>
      <w:bookmarkEnd w:id="14"/>
      <w:bookmarkEnd w:id="15"/>
      <w:bookmarkEnd w:id="16"/>
    </w:p>
    <w:p w14:paraId="3888EAC9">
      <w:pPr>
        <w:spacing w:line="360" w:lineRule="auto"/>
        <w:ind w:firstLine="480" w:firstLineChars="200"/>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1.1.1合同</w:t>
      </w:r>
    </w:p>
    <w:p w14:paraId="6BDDE3B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1.1.1.10其他合同文件包括：</w:t>
      </w:r>
      <w:r>
        <w:rPr>
          <w:rFonts w:hint="eastAsia" w:ascii="宋体" w:hAnsi="宋体" w:eastAsia="宋体" w:cs="宋体"/>
          <w:color w:val="auto"/>
          <w:sz w:val="24"/>
          <w:szCs w:val="24"/>
          <w:highlight w:val="none"/>
          <w:u w:val="single"/>
        </w:rPr>
        <w:t xml:space="preserve"> （1）本合同协议书（2）</w:t>
      </w:r>
      <w:r>
        <w:rPr>
          <w:rFonts w:hint="eastAsia" w:ascii="宋体" w:hAnsi="宋体" w:cs="宋体"/>
          <w:color w:val="auto"/>
          <w:sz w:val="24"/>
          <w:szCs w:val="24"/>
          <w:highlight w:val="none"/>
          <w:u w:val="single"/>
          <w:lang w:eastAsia="zh-CN"/>
        </w:rPr>
        <w:t>成交通知书</w:t>
      </w:r>
      <w:r>
        <w:rPr>
          <w:rFonts w:hint="eastAsia" w:ascii="宋体" w:hAnsi="宋体" w:eastAsia="宋体" w:cs="宋体"/>
          <w:color w:val="auto"/>
          <w:sz w:val="24"/>
          <w:szCs w:val="24"/>
          <w:highlight w:val="none"/>
          <w:u w:val="single"/>
        </w:rPr>
        <w:t>（3）</w:t>
      </w:r>
      <w:r>
        <w:rPr>
          <w:rFonts w:hint="eastAsia" w:ascii="宋体" w:hAnsi="宋体" w:cs="宋体"/>
          <w:color w:val="auto"/>
          <w:sz w:val="24"/>
          <w:szCs w:val="24"/>
          <w:highlight w:val="none"/>
          <w:u w:val="single"/>
          <w:lang w:eastAsia="zh-CN"/>
        </w:rPr>
        <w:t>响应函</w:t>
      </w:r>
      <w:r>
        <w:rPr>
          <w:rFonts w:hint="eastAsia" w:ascii="宋体" w:hAnsi="宋体" w:eastAsia="宋体" w:cs="宋体"/>
          <w:color w:val="auto"/>
          <w:sz w:val="24"/>
          <w:szCs w:val="24"/>
          <w:highlight w:val="none"/>
          <w:u w:val="single"/>
        </w:rPr>
        <w:t>（4）专用合同条款（5）通用合同条款（6）</w:t>
      </w:r>
      <w:r>
        <w:rPr>
          <w:rFonts w:hint="eastAsia" w:ascii="宋体" w:hAnsi="宋体" w:cs="宋体"/>
          <w:color w:val="auto"/>
          <w:sz w:val="24"/>
          <w:szCs w:val="24"/>
          <w:highlight w:val="none"/>
          <w:u w:val="single"/>
          <w:lang w:eastAsia="zh-CN"/>
        </w:rPr>
        <w:t>响应文件</w:t>
      </w:r>
      <w:r>
        <w:rPr>
          <w:rFonts w:hint="eastAsia" w:ascii="宋体" w:hAnsi="宋体" w:eastAsia="宋体" w:cs="宋体"/>
          <w:color w:val="auto"/>
          <w:sz w:val="24"/>
          <w:szCs w:val="24"/>
          <w:highlight w:val="none"/>
          <w:u w:val="single"/>
        </w:rPr>
        <w:t xml:space="preserve">及其附件（7）技术标准、规范及有关技术文件（8）已标价工程量清单（9）工程报价单或预算书（10）其他合同文件 </w:t>
      </w:r>
      <w:r>
        <w:rPr>
          <w:rFonts w:hint="eastAsia" w:ascii="宋体" w:hAnsi="宋体" w:eastAsia="宋体" w:cs="宋体"/>
          <w:color w:val="auto"/>
          <w:sz w:val="24"/>
          <w:szCs w:val="24"/>
          <w:highlight w:val="none"/>
        </w:rPr>
        <w:t>。</w:t>
      </w:r>
    </w:p>
    <w:p w14:paraId="06E83753">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1.3法律 </w:t>
      </w:r>
    </w:p>
    <w:p w14:paraId="101865EF">
      <w:pPr>
        <w:spacing w:line="360" w:lineRule="auto"/>
        <w:ind w:firstLine="480" w:firstLineChars="200"/>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适用于合同的其他规范性文件：</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中华人民共和国民法典</w:t>
      </w:r>
      <w:r>
        <w:rPr>
          <w:rFonts w:hint="eastAsia" w:ascii="宋体" w:hAnsi="宋体" w:eastAsia="宋体" w:cs="宋体"/>
          <w:color w:val="auto"/>
          <w:sz w:val="24"/>
          <w:szCs w:val="24"/>
          <w:highlight w:val="none"/>
          <w:u w:val="single"/>
        </w:rPr>
        <w:t>》《中华人民共和国招标法》、《建设工程质量管理条例》</w:t>
      </w:r>
      <w:r>
        <w:rPr>
          <w:rFonts w:hint="eastAsia" w:ascii="宋体" w:hAnsi="宋体" w:eastAsia="宋体" w:cs="宋体"/>
          <w:color w:val="auto"/>
          <w:sz w:val="24"/>
          <w:szCs w:val="24"/>
          <w:highlight w:val="none"/>
        </w:rPr>
        <w:t>。</w:t>
      </w:r>
    </w:p>
    <w:p w14:paraId="5340AE4F">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标准和规范</w:t>
      </w:r>
    </w:p>
    <w:p w14:paraId="033CB3C8">
      <w:pPr>
        <w:spacing w:line="360" w:lineRule="auto"/>
        <w:ind w:firstLine="480" w:firstLineChars="200"/>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sz w:val="24"/>
          <w:szCs w:val="24"/>
          <w:highlight w:val="none"/>
        </w:rPr>
        <w:t>1.4.1适用于工程的标准规范包括：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spacing w:val="-2"/>
          <w:sz w:val="24"/>
          <w:szCs w:val="24"/>
          <w:u w:val="single"/>
        </w:rPr>
        <w:t>执行国家现行的技术标准、施工验收规范及质量检验评定标准，以及材料、设备所涉及的现行国家、省、市或行业的工程建设标准、规范的要求</w:t>
      </w:r>
      <w:r>
        <w:rPr>
          <w:rFonts w:hint="eastAsia" w:ascii="宋体" w:hAnsi="宋体" w:eastAsia="宋体" w:cs="宋体"/>
          <w:sz w:val="24"/>
          <w:szCs w:val="24"/>
          <w:u w:val="single"/>
        </w:rPr>
        <w:t>。</w:t>
      </w:r>
    </w:p>
    <w:p w14:paraId="69D9F1B5">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1.4.3发包人对工程的技术标准和功能要求的特殊要求：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2046D34">
      <w:pPr>
        <w:spacing w:line="360" w:lineRule="auto"/>
        <w:ind w:firstLine="480" w:firstLineChars="200"/>
        <w:jc w:val="left"/>
        <w:outlineLvl w:val="9"/>
        <w:rPr>
          <w:rFonts w:hint="eastAsia" w:ascii="宋体" w:hAnsi="宋体" w:eastAsia="宋体" w:cs="宋体"/>
          <w:color w:val="auto"/>
          <w:sz w:val="24"/>
          <w:szCs w:val="24"/>
          <w:highlight w:val="none"/>
        </w:rPr>
      </w:pPr>
      <w:bookmarkStart w:id="17" w:name="_Toc508703893"/>
      <w:bookmarkStart w:id="18" w:name="_Toc508702735"/>
      <w:bookmarkStart w:id="19" w:name="_Toc10526"/>
      <w:bookmarkStart w:id="20" w:name="_Toc510449971"/>
      <w:bookmarkStart w:id="21" w:name="_Toc8725"/>
      <w:bookmarkStart w:id="22" w:name="_Toc2351"/>
      <w:r>
        <w:rPr>
          <w:rFonts w:hint="eastAsia" w:ascii="宋体" w:hAnsi="宋体" w:eastAsia="宋体" w:cs="宋体"/>
          <w:color w:val="auto"/>
          <w:sz w:val="24"/>
          <w:szCs w:val="24"/>
          <w:highlight w:val="none"/>
        </w:rPr>
        <w:t>1.5 合同文件的优先顺序</w:t>
      </w:r>
      <w:bookmarkEnd w:id="17"/>
      <w:bookmarkEnd w:id="18"/>
      <w:bookmarkEnd w:id="19"/>
      <w:bookmarkEnd w:id="20"/>
      <w:bookmarkEnd w:id="21"/>
      <w:bookmarkEnd w:id="22"/>
    </w:p>
    <w:p w14:paraId="74188F8E">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合同文件组成及优先顺序为：</w:t>
      </w:r>
      <w:r>
        <w:rPr>
          <w:rFonts w:hint="eastAsia" w:ascii="宋体" w:hAnsi="宋体" w:eastAsia="宋体" w:cs="宋体"/>
          <w:color w:val="auto"/>
          <w:sz w:val="24"/>
          <w:szCs w:val="24"/>
          <w:highlight w:val="none"/>
          <w:u w:val="single"/>
        </w:rPr>
        <w:t>执行通用合同条款</w:t>
      </w:r>
      <w:r>
        <w:rPr>
          <w:rFonts w:hint="eastAsia" w:ascii="宋体" w:hAnsi="宋体" w:eastAsia="宋体" w:cs="宋体"/>
          <w:color w:val="auto"/>
          <w:sz w:val="24"/>
          <w:szCs w:val="24"/>
          <w:highlight w:val="none"/>
        </w:rPr>
        <w:t>。</w:t>
      </w:r>
    </w:p>
    <w:p w14:paraId="30BDEEF1">
      <w:pPr>
        <w:spacing w:line="360" w:lineRule="auto"/>
        <w:ind w:firstLine="480" w:firstLineChars="200"/>
        <w:jc w:val="left"/>
        <w:outlineLvl w:val="9"/>
        <w:rPr>
          <w:rFonts w:hint="eastAsia" w:ascii="宋体" w:hAnsi="宋体" w:eastAsia="宋体" w:cs="宋体"/>
          <w:color w:val="auto"/>
          <w:sz w:val="24"/>
          <w:szCs w:val="24"/>
          <w:highlight w:val="none"/>
        </w:rPr>
      </w:pPr>
      <w:bookmarkStart w:id="23" w:name="_Toc508703894"/>
      <w:bookmarkStart w:id="24" w:name="_Toc8598"/>
      <w:bookmarkStart w:id="25" w:name="_Toc14207"/>
      <w:bookmarkStart w:id="26" w:name="_Toc508702736"/>
      <w:bookmarkStart w:id="27" w:name="_Toc21103"/>
      <w:bookmarkStart w:id="28" w:name="_Toc510449972"/>
      <w:r>
        <w:rPr>
          <w:rFonts w:hint="eastAsia" w:ascii="宋体" w:hAnsi="宋体" w:eastAsia="宋体" w:cs="宋体"/>
          <w:color w:val="auto"/>
          <w:sz w:val="24"/>
          <w:szCs w:val="24"/>
          <w:highlight w:val="none"/>
        </w:rPr>
        <w:t>1.10 交通运输</w:t>
      </w:r>
      <w:bookmarkEnd w:id="23"/>
      <w:bookmarkEnd w:id="24"/>
      <w:bookmarkEnd w:id="25"/>
      <w:bookmarkEnd w:id="26"/>
      <w:bookmarkEnd w:id="27"/>
      <w:bookmarkEnd w:id="28"/>
    </w:p>
    <w:p w14:paraId="18515442">
      <w:pPr>
        <w:spacing w:line="360" w:lineRule="auto"/>
        <w:ind w:firstLine="480" w:firstLineChars="200"/>
        <w:jc w:val="left"/>
        <w:outlineLvl w:val="9"/>
        <w:rPr>
          <w:rFonts w:hint="eastAsia" w:ascii="宋体" w:hAnsi="宋体" w:eastAsia="宋体" w:cs="宋体"/>
          <w:color w:val="auto"/>
          <w:sz w:val="24"/>
          <w:szCs w:val="24"/>
          <w:highlight w:val="none"/>
        </w:rPr>
      </w:pPr>
      <w:bookmarkStart w:id="29" w:name="_Toc508703895"/>
      <w:bookmarkStart w:id="30" w:name="_Toc508702737"/>
      <w:bookmarkStart w:id="31" w:name="_Toc24359"/>
      <w:bookmarkStart w:id="32" w:name="_Toc510449973"/>
      <w:bookmarkStart w:id="33" w:name="_Toc11862"/>
      <w:bookmarkStart w:id="34" w:name="_Toc9097"/>
      <w:r>
        <w:rPr>
          <w:rFonts w:hint="eastAsia" w:ascii="宋体" w:hAnsi="宋体" w:eastAsia="宋体" w:cs="宋体"/>
          <w:color w:val="auto"/>
          <w:sz w:val="24"/>
          <w:szCs w:val="24"/>
          <w:highlight w:val="none"/>
        </w:rPr>
        <w:t>1</w:t>
      </w:r>
      <w:bookmarkStart w:id="35" w:name="_Toc312677987"/>
      <w:bookmarkStart w:id="36" w:name="_Toc318581156"/>
      <w:bookmarkStart w:id="37" w:name="_Toc303539101"/>
      <w:bookmarkStart w:id="38" w:name="_Toc300934944"/>
      <w:bookmarkStart w:id="39" w:name="_Toc304295522"/>
      <w:r>
        <w:rPr>
          <w:rFonts w:hint="eastAsia" w:ascii="宋体" w:hAnsi="宋体" w:eastAsia="宋体" w:cs="宋体"/>
          <w:color w:val="auto"/>
          <w:sz w:val="24"/>
          <w:szCs w:val="24"/>
          <w:highlight w:val="none"/>
        </w:rPr>
        <w:t>.10.3 场内交通</w:t>
      </w:r>
      <w:bookmarkEnd w:id="29"/>
      <w:bookmarkEnd w:id="30"/>
      <w:bookmarkEnd w:id="31"/>
      <w:bookmarkEnd w:id="32"/>
      <w:bookmarkEnd w:id="33"/>
      <w:bookmarkEnd w:id="34"/>
    </w:p>
    <w:p w14:paraId="153B5255">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关于场外交通和场内交通的边界的约定：</w:t>
      </w:r>
      <w:r>
        <w:rPr>
          <w:rFonts w:hint="eastAsia" w:ascii="宋体" w:hAnsi="宋体" w:eastAsia="宋体" w:cs="宋体"/>
          <w:sz w:val="24"/>
          <w:szCs w:val="24"/>
          <w:u w:val="single"/>
        </w:rPr>
        <w:t>以发包人提供的本项目红线为界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35"/>
      <w:bookmarkEnd w:id="36"/>
      <w:bookmarkEnd w:id="37"/>
      <w:bookmarkEnd w:id="38"/>
      <w:bookmarkEnd w:id="39"/>
      <w:r>
        <w:rPr>
          <w:rFonts w:hint="eastAsia" w:ascii="宋体" w:hAnsi="宋体" w:eastAsia="宋体" w:cs="宋体"/>
          <w:color w:val="auto"/>
          <w:sz w:val="24"/>
          <w:szCs w:val="24"/>
          <w:highlight w:val="none"/>
        </w:rPr>
        <w:t xml:space="preserve"> </w:t>
      </w:r>
      <w:bookmarkStart w:id="40" w:name="_Toc318581157"/>
    </w:p>
    <w:bookmarkEnd w:id="40"/>
    <w:p w14:paraId="079544DE">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关于发包人向承包人免费提供满足工程施工需要的场内道路和交通设施的约定：</w:t>
      </w:r>
      <w:r>
        <w:rPr>
          <w:rFonts w:hint="eastAsia" w:ascii="宋体" w:hAnsi="宋体" w:eastAsia="宋体" w:cs="宋体"/>
          <w:color w:val="auto"/>
          <w:sz w:val="24"/>
          <w:szCs w:val="24"/>
          <w:highlight w:val="none"/>
          <w:u w:val="single"/>
        </w:rPr>
        <w:t>由承包人按投标时场地的规划，自行解决场内道路和交通设施，其费用包含在报价内。确保满足施工运输的需要，保证施工期间的畅通</w:t>
      </w:r>
      <w:r>
        <w:rPr>
          <w:rFonts w:hint="eastAsia" w:ascii="宋体" w:hAnsi="宋体" w:eastAsia="宋体" w:cs="宋体"/>
          <w:color w:val="auto"/>
          <w:sz w:val="24"/>
          <w:szCs w:val="24"/>
          <w:highlight w:val="none"/>
          <w:u w:val="none"/>
        </w:rPr>
        <w:t xml:space="preserve">。  </w:t>
      </w:r>
    </w:p>
    <w:p w14:paraId="4A7E71B3">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1.13工程量清单错误的修正</w:t>
      </w:r>
    </w:p>
    <w:p w14:paraId="1F75CD65">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出现工程量清单错误时，是否调整合同价格：</w:t>
      </w:r>
      <w:r>
        <w:rPr>
          <w:rFonts w:hint="eastAsia" w:ascii="宋体" w:hAnsi="宋体" w:eastAsia="宋体" w:cs="宋体"/>
          <w:color w:val="auto"/>
          <w:sz w:val="24"/>
          <w:szCs w:val="24"/>
          <w:highlight w:val="none"/>
          <w:u w:val="single"/>
          <w:lang w:val="en-US" w:eastAsia="zh-CN"/>
        </w:rPr>
        <w:t>工程量出现偏差时，据实调整，不管工程量偏差多少，综合单价均不做调整</w:t>
      </w:r>
      <w:r>
        <w:rPr>
          <w:rFonts w:hint="eastAsia" w:ascii="宋体" w:hAnsi="宋体" w:eastAsia="宋体" w:cs="宋体"/>
          <w:color w:val="auto"/>
          <w:sz w:val="24"/>
          <w:szCs w:val="24"/>
          <w:highlight w:val="none"/>
          <w:lang w:val="en-US" w:eastAsia="zh-CN"/>
        </w:rPr>
        <w:t>。</w:t>
      </w:r>
    </w:p>
    <w:p w14:paraId="1DACED66">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允许调整合同价格的工程量偏差范围：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7191DC28">
      <w:pPr>
        <w:numPr>
          <w:ilvl w:val="3"/>
          <w:numId w:val="1"/>
        </w:numPr>
        <w:spacing w:before="0" w:after="0" w:line="360" w:lineRule="auto"/>
        <w:jc w:val="left"/>
        <w:outlineLvl w:val="9"/>
        <w:rPr>
          <w:rFonts w:hint="eastAsia" w:ascii="宋体" w:hAnsi="宋体" w:eastAsia="宋体" w:cs="宋体"/>
          <w:b w:val="0"/>
          <w:color w:val="auto"/>
          <w:sz w:val="24"/>
          <w:szCs w:val="24"/>
          <w:highlight w:val="none"/>
        </w:rPr>
      </w:pPr>
      <w:bookmarkStart w:id="41" w:name="_Toc351203634"/>
      <w:r>
        <w:rPr>
          <w:rFonts w:hint="eastAsia" w:ascii="宋体" w:hAnsi="宋体" w:eastAsia="宋体" w:cs="宋体"/>
          <w:b w:val="0"/>
          <w:color w:val="auto"/>
          <w:sz w:val="24"/>
          <w:szCs w:val="24"/>
          <w:highlight w:val="none"/>
        </w:rPr>
        <w:t>2</w:t>
      </w:r>
      <w:bookmarkStart w:id="42" w:name="_Toc296891197"/>
      <w:bookmarkStart w:id="43" w:name="_Toc296347156"/>
      <w:bookmarkStart w:id="44" w:name="_Toc297120457"/>
      <w:bookmarkStart w:id="45" w:name="_Toc296890985"/>
      <w:bookmarkStart w:id="46" w:name="_Toc297048343"/>
      <w:bookmarkStart w:id="47" w:name="_Toc296944496"/>
      <w:bookmarkStart w:id="48" w:name="_Toc292559867"/>
      <w:bookmarkStart w:id="49" w:name="_Toc292559362"/>
      <w:bookmarkStart w:id="50" w:name="_Toc296503157"/>
      <w:bookmarkStart w:id="51" w:name="_Toc296346658"/>
      <w:r>
        <w:rPr>
          <w:rFonts w:hint="eastAsia" w:ascii="宋体" w:hAnsi="宋体" w:eastAsia="宋体" w:cs="宋体"/>
          <w:b w:val="0"/>
          <w:color w:val="auto"/>
          <w:sz w:val="24"/>
          <w:szCs w:val="24"/>
          <w:highlight w:val="none"/>
        </w:rPr>
        <w:t>. 发包人</w:t>
      </w:r>
      <w:bookmarkEnd w:id="41"/>
    </w:p>
    <w:bookmarkEnd w:id="42"/>
    <w:bookmarkEnd w:id="43"/>
    <w:bookmarkEnd w:id="44"/>
    <w:bookmarkEnd w:id="45"/>
    <w:bookmarkEnd w:id="46"/>
    <w:bookmarkEnd w:id="47"/>
    <w:bookmarkEnd w:id="48"/>
    <w:bookmarkEnd w:id="49"/>
    <w:bookmarkEnd w:id="50"/>
    <w:bookmarkEnd w:id="51"/>
    <w:p w14:paraId="5857A9A1">
      <w:pPr>
        <w:spacing w:line="360" w:lineRule="auto"/>
        <w:ind w:firstLine="480" w:firstLineChars="200"/>
        <w:jc w:val="left"/>
        <w:outlineLvl w:val="9"/>
        <w:rPr>
          <w:rFonts w:hint="eastAsia" w:ascii="宋体" w:hAnsi="宋体" w:eastAsia="宋体" w:cs="宋体"/>
          <w:color w:val="auto"/>
          <w:sz w:val="24"/>
          <w:szCs w:val="24"/>
          <w:highlight w:val="none"/>
        </w:rPr>
      </w:pPr>
      <w:bookmarkStart w:id="52" w:name="_Toc27900"/>
      <w:bookmarkStart w:id="53" w:name="_Toc31963"/>
      <w:bookmarkStart w:id="54" w:name="_Toc510449974"/>
      <w:bookmarkStart w:id="55" w:name="_Toc21184"/>
      <w:bookmarkStart w:id="56" w:name="_Toc508702738"/>
      <w:bookmarkStart w:id="57" w:name="_Toc508703896"/>
      <w:r>
        <w:rPr>
          <w:rFonts w:hint="eastAsia" w:ascii="宋体" w:hAnsi="宋体" w:eastAsia="宋体" w:cs="宋体"/>
          <w:color w:val="auto"/>
          <w:sz w:val="24"/>
          <w:szCs w:val="24"/>
          <w:highlight w:val="none"/>
        </w:rPr>
        <w:t>2.</w:t>
      </w:r>
      <w:r>
        <w:rPr>
          <w:rFonts w:hint="eastAsia" w:ascii="宋体" w:hAnsi="宋体" w:cs="宋体"/>
          <w:color w:val="auto"/>
          <w:sz w:val="24"/>
          <w:szCs w:val="24"/>
          <w:highlight w:val="none"/>
          <w:lang w:val="en-US" w:eastAsia="zh-CN"/>
        </w:rPr>
        <w:t xml:space="preserve">3 </w:t>
      </w:r>
      <w:r>
        <w:rPr>
          <w:rFonts w:hint="eastAsia" w:ascii="宋体" w:hAnsi="宋体" w:eastAsia="宋体" w:cs="宋体"/>
          <w:color w:val="auto"/>
          <w:sz w:val="24"/>
          <w:szCs w:val="24"/>
          <w:highlight w:val="none"/>
        </w:rPr>
        <w:t>资金来源证明及支付担保</w:t>
      </w:r>
      <w:bookmarkEnd w:id="52"/>
      <w:bookmarkEnd w:id="53"/>
      <w:bookmarkEnd w:id="54"/>
      <w:bookmarkEnd w:id="55"/>
      <w:bookmarkEnd w:id="56"/>
      <w:bookmarkEnd w:id="57"/>
    </w:p>
    <w:p w14:paraId="5ED039A6">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发包人是否提供支付担保：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否</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C88975C">
      <w:pPr>
        <w:spacing w:line="360" w:lineRule="auto"/>
        <w:ind w:firstLine="480" w:firstLineChars="200"/>
        <w:jc w:val="left"/>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发包人提供支付担保的形式：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3BFA0EB">
      <w:pPr>
        <w:numPr>
          <w:ilvl w:val="3"/>
          <w:numId w:val="1"/>
        </w:numPr>
        <w:spacing w:before="0" w:after="0" w:line="360" w:lineRule="auto"/>
        <w:jc w:val="left"/>
        <w:outlineLvl w:val="9"/>
        <w:rPr>
          <w:rFonts w:hint="eastAsia" w:ascii="宋体" w:hAnsi="宋体" w:eastAsia="宋体" w:cs="宋体"/>
          <w:b w:val="0"/>
          <w:color w:val="auto"/>
          <w:sz w:val="24"/>
          <w:szCs w:val="24"/>
          <w:highlight w:val="none"/>
        </w:rPr>
      </w:pPr>
      <w:bookmarkStart w:id="58" w:name="_Toc351203635"/>
      <w:r>
        <w:rPr>
          <w:rFonts w:hint="eastAsia" w:ascii="宋体" w:hAnsi="宋体" w:eastAsia="宋体" w:cs="宋体"/>
          <w:b w:val="0"/>
          <w:color w:val="auto"/>
          <w:sz w:val="24"/>
          <w:szCs w:val="24"/>
          <w:highlight w:val="none"/>
        </w:rPr>
        <w:t>3</w:t>
      </w:r>
      <w:bookmarkStart w:id="59" w:name="_Toc297048344"/>
      <w:bookmarkStart w:id="60" w:name="_Toc296503158"/>
      <w:bookmarkStart w:id="61" w:name="_Toc296890986"/>
      <w:bookmarkStart w:id="62" w:name="_Toc296944497"/>
      <w:bookmarkStart w:id="63" w:name="_Toc292559868"/>
      <w:bookmarkStart w:id="64" w:name="_Toc296891198"/>
      <w:bookmarkStart w:id="65" w:name="_Toc296346659"/>
      <w:bookmarkStart w:id="66" w:name="_Toc296347157"/>
      <w:bookmarkStart w:id="67" w:name="_Toc292559363"/>
      <w:bookmarkStart w:id="68" w:name="_Toc297120458"/>
      <w:r>
        <w:rPr>
          <w:rFonts w:hint="eastAsia" w:ascii="宋体" w:hAnsi="宋体" w:eastAsia="宋体" w:cs="宋体"/>
          <w:b w:val="0"/>
          <w:color w:val="auto"/>
          <w:sz w:val="24"/>
          <w:szCs w:val="24"/>
          <w:highlight w:val="none"/>
        </w:rPr>
        <w:t>. 承包人</w:t>
      </w:r>
      <w:bookmarkEnd w:id="58"/>
    </w:p>
    <w:bookmarkEnd w:id="59"/>
    <w:bookmarkEnd w:id="60"/>
    <w:bookmarkEnd w:id="61"/>
    <w:bookmarkEnd w:id="62"/>
    <w:bookmarkEnd w:id="63"/>
    <w:bookmarkEnd w:id="64"/>
    <w:bookmarkEnd w:id="65"/>
    <w:bookmarkEnd w:id="66"/>
    <w:bookmarkEnd w:id="67"/>
    <w:bookmarkEnd w:id="68"/>
    <w:p w14:paraId="1C4EEC87">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承包人的一般义务</w:t>
      </w:r>
    </w:p>
    <w:p w14:paraId="65EBC84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承包人应履行的其他义务</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sz w:val="24"/>
          <w:szCs w:val="24"/>
          <w:highlight w:val="none"/>
          <w:u w:val="single"/>
        </w:rPr>
        <w:t>开工前10日内提供项目总计划、人力资源计划（包括管理人员、技术工人、普工）、材料设备供应计划(包括数量、规格、进场时间，含工程材料、施工材料、周转材料、工程设备、施工设备和机具)、资金计划；每月23日提供本/次月人力资源报表/计划（包括管理人员、技术工人、普工）、材料设备供应报表/计划(包括数量、规格、进场时间，含工程材料、施工材料、周转材料、工程设备、施工设备和机具)、资金报表/计划，报发包人、监理工程师审核；如不按时报送，发包人不予支付工程进度款</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承包人需要提交的竣工资料套数：</w:t>
      </w:r>
      <w:r>
        <w:rPr>
          <w:rFonts w:hint="eastAsia" w:ascii="宋体" w:hAnsi="宋体" w:eastAsia="宋体" w:cs="宋体"/>
          <w:color w:val="auto"/>
          <w:kern w:val="0"/>
          <w:sz w:val="24"/>
          <w:szCs w:val="24"/>
          <w:highlight w:val="none"/>
          <w:u w:val="single"/>
        </w:rPr>
        <w:t xml:space="preserve">  四份（均为原件） 。</w:t>
      </w:r>
    </w:p>
    <w:p w14:paraId="34E88DD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 xml:space="preserve">承包人提交的竣工资料的费用承担： </w:t>
      </w:r>
      <w:r>
        <w:rPr>
          <w:rFonts w:hint="eastAsia" w:ascii="宋体" w:hAnsi="宋体" w:eastAsia="宋体" w:cs="宋体"/>
          <w:color w:val="auto"/>
          <w:kern w:val="0"/>
          <w:sz w:val="24"/>
          <w:szCs w:val="24"/>
          <w:highlight w:val="none"/>
          <w:u w:val="single"/>
        </w:rPr>
        <w:t xml:space="preserve"> 自行承担，费用包含在投标报价内。</w:t>
      </w:r>
    </w:p>
    <w:p w14:paraId="45B637F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承包人提交的竣工资料移交时间：</w:t>
      </w:r>
      <w:r>
        <w:rPr>
          <w:rFonts w:hint="eastAsia" w:ascii="宋体" w:hAnsi="宋体" w:eastAsia="宋体" w:cs="宋体"/>
          <w:color w:val="auto"/>
          <w:kern w:val="0"/>
          <w:sz w:val="24"/>
          <w:szCs w:val="24"/>
          <w:highlight w:val="none"/>
          <w:u w:val="single"/>
        </w:rPr>
        <w:t>发包人竣工验收批准后</w:t>
      </w:r>
      <w:r>
        <w:rPr>
          <w:rFonts w:hint="eastAsia" w:ascii="宋体" w:hAnsi="宋体" w:cs="宋体"/>
          <w:color w:val="auto"/>
          <w:kern w:val="0"/>
          <w:sz w:val="24"/>
          <w:szCs w:val="24"/>
          <w:highlight w:val="none"/>
          <w:u w:val="single"/>
          <w:lang w:val="en-US" w:eastAsia="zh-CN"/>
        </w:rPr>
        <w:t>15</w:t>
      </w:r>
      <w:r>
        <w:rPr>
          <w:rFonts w:hint="eastAsia" w:ascii="宋体" w:hAnsi="宋体" w:eastAsia="宋体" w:cs="宋体"/>
          <w:color w:val="auto"/>
          <w:kern w:val="0"/>
          <w:sz w:val="24"/>
          <w:szCs w:val="24"/>
          <w:highlight w:val="none"/>
          <w:u w:val="single"/>
        </w:rPr>
        <w:t>天内。</w:t>
      </w:r>
    </w:p>
    <w:p w14:paraId="0C86230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承包人提交的竣工资料形式要求：</w:t>
      </w:r>
      <w:r>
        <w:rPr>
          <w:rFonts w:hint="eastAsia" w:ascii="宋体" w:hAnsi="宋体" w:eastAsia="宋体" w:cs="宋体"/>
          <w:color w:val="auto"/>
          <w:kern w:val="0"/>
          <w:sz w:val="24"/>
          <w:szCs w:val="24"/>
          <w:highlight w:val="none"/>
          <w:u w:val="single"/>
        </w:rPr>
        <w:t>按陕西省相关规定执行。</w:t>
      </w:r>
    </w:p>
    <w:p w14:paraId="2AFDBF89">
      <w:pPr>
        <w:spacing w:line="360" w:lineRule="auto"/>
        <w:ind w:firstLine="480" w:firstLineChars="200"/>
        <w:jc w:val="left"/>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10</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sz w:val="24"/>
          <w:szCs w:val="24"/>
          <w:highlight w:val="none"/>
        </w:rPr>
        <w:t>承包人应履行的其他义务：</w:t>
      </w:r>
      <w:r>
        <w:rPr>
          <w:rFonts w:hint="eastAsia" w:ascii="宋体" w:hAnsi="宋体" w:eastAsia="宋体" w:cs="宋体"/>
          <w:color w:val="auto"/>
          <w:sz w:val="24"/>
          <w:szCs w:val="24"/>
          <w:highlight w:val="none"/>
          <w:u w:val="single"/>
        </w:rPr>
        <w:t>a、承担施工安全保卫工作及非夜间施工照明的责任和要求：根据工程需要，提供和维修非夜间施工使用的照明、围拦设计；负责施工现场安全保护。</w:t>
      </w:r>
    </w:p>
    <w:p w14:paraId="6D3E2644">
      <w:pPr>
        <w:spacing w:line="360" w:lineRule="auto"/>
        <w:ind w:firstLine="480" w:firstLineChars="200"/>
        <w:jc w:val="left"/>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  b、需承包人办理的有关施工场地交通、环卫和施工噪音管理等手续：施工场地交通、道路 硬化、环卫和施工噪音管理在开工前完成。</w:t>
      </w:r>
    </w:p>
    <w:p w14:paraId="6B8EE835">
      <w:pPr>
        <w:spacing w:line="360" w:lineRule="auto"/>
        <w:ind w:firstLine="480" w:firstLineChars="200"/>
        <w:jc w:val="left"/>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c、已完工程成品保护的特殊要求及费用承担：已完成工程未正式向发包人移交之前，承包人 应当按照专用条款约定负责对已完工程的保护工作（包括发包人对工程某些特殊部位和部分设施、 设备保护提出的特殊要求），费用由承包人承担。在此期间发生的损坏由承包人自费负责予以修复。 </w:t>
      </w:r>
    </w:p>
    <w:p w14:paraId="231C8CC7">
      <w:pPr>
        <w:spacing w:line="360" w:lineRule="auto"/>
        <w:ind w:firstLine="480" w:firstLineChars="200"/>
        <w:jc w:val="left"/>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d、施工场地周围以下管线和邻近建筑物、构筑物（含文物保护建筑）、古树名木的保护要求 及费用承担：工程竣工移交前由承包人负责。由于施工方法不当造成损失、损坏发生的费用由承包方承担。 </w:t>
      </w:r>
    </w:p>
    <w:p w14:paraId="4CE34F6B">
      <w:pPr>
        <w:spacing w:line="360" w:lineRule="auto"/>
        <w:ind w:firstLine="480" w:firstLineChars="200"/>
        <w:jc w:val="left"/>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e、施工场地清洁卫生的要求：达到省、市级文明工地要求并符合创卫标准，做到工完场清、构件、材料、设施分类堆放，做好标志、道路清洁、给排水畅通。</w:t>
      </w:r>
    </w:p>
    <w:p w14:paraId="0510EF7F">
      <w:pPr>
        <w:spacing w:line="360" w:lineRule="auto"/>
        <w:ind w:firstLine="480" w:firstLineChars="200"/>
        <w:jc w:val="left"/>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 f、双方约定承包人应做的其他工作：主动与发包人配合共同办理施工许可证等有关手续的工 作。按时足额支付农民工工资。</w:t>
      </w:r>
    </w:p>
    <w:p w14:paraId="2358149D">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 项目经理</w:t>
      </w:r>
    </w:p>
    <w:p w14:paraId="0A4FF99A">
      <w:pPr>
        <w:spacing w:line="360" w:lineRule="auto"/>
        <w:ind w:firstLine="480" w:firstLineChars="200"/>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关于项目经理每月在施工现场的时间要求：</w:t>
      </w:r>
      <w:r>
        <w:rPr>
          <w:rFonts w:hint="eastAsia" w:ascii="宋体" w:hAnsi="宋体" w:eastAsia="宋体" w:cs="宋体"/>
          <w:color w:val="000000"/>
          <w:kern w:val="0"/>
          <w:sz w:val="24"/>
          <w:szCs w:val="24"/>
          <w:u w:val="single"/>
          <w:lang w:val="en-US" w:eastAsia="zh-CN" w:bidi="ar"/>
        </w:rPr>
        <w:t>每周不要少于 5 天，但每月不少于25 天，国家法定工作日期间不在现场需事先通知监理人，经发包人书面同意每周驻场时间不少于 5 日，缺勤按 1000 元/ 天标准向发包人支付违约金。</w:t>
      </w:r>
    </w:p>
    <w:p w14:paraId="41EE9206">
      <w:pPr>
        <w:spacing w:line="360" w:lineRule="auto"/>
        <w:ind w:firstLine="480" w:firstLineChars="200"/>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承包人未提交劳动合同，以及没有为项目经理缴纳社会保险证明的违约责任：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000000"/>
          <w:kern w:val="0"/>
          <w:sz w:val="24"/>
          <w:szCs w:val="24"/>
          <w:u w:val="single"/>
          <w:lang w:val="en-US" w:eastAsia="zh-CN" w:bidi="ar"/>
        </w:rPr>
        <w:t>由承包人承担相应法律责任，发包人有权解除工程合同，并追究由此给发包人带来的一切损失。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21173A9B">
      <w:pPr>
        <w:spacing w:line="360" w:lineRule="auto"/>
        <w:ind w:firstLine="480" w:firstLineChars="200"/>
        <w:jc w:val="left"/>
        <w:outlineLvl w:val="9"/>
        <w:rPr>
          <w:rFonts w:hint="default" w:ascii="宋体" w:hAnsi="宋体" w:eastAsia="宋体" w:cs="宋体"/>
          <w:color w:val="auto"/>
          <w:sz w:val="24"/>
          <w:szCs w:val="24"/>
          <w:highlight w:val="none"/>
          <w:u w:val="single"/>
          <w:lang w:val="en-US"/>
        </w:rPr>
      </w:pPr>
      <w:r>
        <w:rPr>
          <w:rFonts w:hint="eastAsia" w:ascii="宋体" w:hAnsi="宋体" w:eastAsia="宋体" w:cs="宋体"/>
          <w:color w:val="auto"/>
          <w:kern w:val="0"/>
          <w:sz w:val="24"/>
          <w:szCs w:val="24"/>
          <w:highlight w:val="none"/>
        </w:rPr>
        <w:t>项目经理未经批准，擅自离开施工现场的违约责任：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000000"/>
          <w:kern w:val="0"/>
          <w:sz w:val="24"/>
          <w:szCs w:val="24"/>
          <w:u w:val="single"/>
          <w:lang w:val="en-US" w:eastAsia="zh-CN" w:bidi="ar"/>
        </w:rPr>
        <w:t xml:space="preserve">按1000 元 /天·人标准向发包人支付违约金。工程支付进度款时在当期支付款中扣除。   </w:t>
      </w:r>
    </w:p>
    <w:p w14:paraId="3C8DE1E1">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3.2.3 承包人擅自更换项目经理的违约责任：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000000"/>
          <w:kern w:val="0"/>
          <w:sz w:val="24"/>
          <w:szCs w:val="24"/>
          <w:u w:val="single"/>
          <w:lang w:val="en-US" w:eastAsia="zh-CN" w:bidi="ar"/>
        </w:rPr>
        <w:t>每更换一次罚款50000 元，解除合同。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3D9880BE">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3.2.4 承包人无正当理由拒绝更换项目经理的违约责任：</w:t>
      </w:r>
      <w:r>
        <w:rPr>
          <w:rFonts w:hint="eastAsia" w:ascii="宋体" w:hAnsi="宋体" w:eastAsia="宋体" w:cs="宋体"/>
          <w:i w:val="0"/>
          <w:iCs w:val="0"/>
          <w:color w:val="000000"/>
          <w:kern w:val="0"/>
          <w:sz w:val="24"/>
          <w:szCs w:val="24"/>
          <w:u w:val="single"/>
          <w:lang w:val="en-US" w:eastAsia="zh-CN" w:bidi="ar"/>
        </w:rPr>
        <w:t>解除合同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248133CA">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 承包人人员</w:t>
      </w:r>
    </w:p>
    <w:p w14:paraId="1FF2B48D">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 承包人无正当理由拒绝撤换主要施工管理人员的违约责任：</w:t>
      </w:r>
      <w:r>
        <w:rPr>
          <w:rFonts w:hint="eastAsia" w:ascii="宋体" w:hAnsi="宋体" w:eastAsia="宋体" w:cs="宋体"/>
          <w:color w:val="auto"/>
          <w:sz w:val="24"/>
          <w:szCs w:val="24"/>
          <w:highlight w:val="none"/>
          <w:u w:val="single"/>
        </w:rPr>
        <w:t xml:space="preserve">承包人应加强对施工人员的管理，加强施工区域内的保安工作，承包人应按政府部门相关规定严格执行有关部门规定，做好文明施工，因承包人违章引起的扣款由承包人承担  </w:t>
      </w:r>
      <w:r>
        <w:rPr>
          <w:rFonts w:hint="eastAsia" w:ascii="宋体" w:hAnsi="宋体" w:eastAsia="宋体" w:cs="宋体"/>
          <w:color w:val="auto"/>
          <w:sz w:val="24"/>
          <w:szCs w:val="24"/>
          <w:highlight w:val="none"/>
        </w:rPr>
        <w:t>。</w:t>
      </w:r>
    </w:p>
    <w:p w14:paraId="512FA5D4">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承包人擅自更换主要施工管理人员的违约责任：</w:t>
      </w:r>
      <w:r>
        <w:rPr>
          <w:rFonts w:hint="eastAsia" w:ascii="宋体" w:hAnsi="宋体" w:eastAsia="宋体" w:cs="宋体"/>
          <w:sz w:val="24"/>
          <w:szCs w:val="24"/>
          <w:u w:val="single"/>
        </w:rPr>
        <w:t>视为承包人违约，发包人有权扣除履约保证金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1DE12DA7">
      <w:pPr>
        <w:spacing w:line="360" w:lineRule="auto"/>
        <w:ind w:firstLine="480" w:firstLineChars="200"/>
        <w:outlineLvl w:val="9"/>
        <w:rPr>
          <w:rFonts w:hint="eastAsia" w:ascii="宋体" w:hAnsi="宋体" w:eastAsia="宋体" w:cs="宋体"/>
          <w:color w:val="auto"/>
          <w:sz w:val="24"/>
          <w:szCs w:val="24"/>
          <w:highlight w:val="none"/>
          <w:u w:val="single"/>
        </w:rPr>
      </w:pPr>
      <w:bookmarkStart w:id="69" w:name="_Toc267251418"/>
      <w:bookmarkStart w:id="70" w:name="_Toc351203637"/>
      <w:r>
        <w:rPr>
          <w:rFonts w:hint="eastAsia" w:ascii="宋体" w:hAnsi="宋体" w:eastAsia="宋体" w:cs="宋体"/>
          <w:color w:val="auto"/>
          <w:sz w:val="24"/>
          <w:szCs w:val="24"/>
          <w:highlight w:val="none"/>
        </w:rPr>
        <w:t>承包人主要施工管理人员离开施工现场的批准要求：</w:t>
      </w:r>
      <w:r>
        <w:rPr>
          <w:rFonts w:hint="eastAsia" w:ascii="宋体" w:hAnsi="宋体" w:eastAsia="宋体" w:cs="宋体"/>
          <w:color w:val="auto"/>
          <w:sz w:val="24"/>
          <w:szCs w:val="24"/>
          <w:highlight w:val="none"/>
          <w:u w:val="single"/>
        </w:rPr>
        <w:t>必须事先取得总监理工程师和发包人驻现场代表的许可。</w:t>
      </w:r>
    </w:p>
    <w:p w14:paraId="30301D61">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承包人擅自更换主要施工管理人员的违约责任：</w:t>
      </w:r>
      <w:r>
        <w:rPr>
          <w:rFonts w:hint="eastAsia" w:ascii="宋体" w:hAnsi="宋体" w:eastAsia="宋体" w:cs="宋体"/>
          <w:color w:val="auto"/>
          <w:sz w:val="24"/>
          <w:szCs w:val="24"/>
          <w:highlight w:val="none"/>
          <w:u w:val="single"/>
        </w:rPr>
        <w:t xml:space="preserve"> 视为承包人违约，发包人有权根据情况扣除承包人10000元-100000元/人违约金。</w:t>
      </w:r>
    </w:p>
    <w:p w14:paraId="09C40747">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承包人主要施工管理人员擅自离开施工现场的违约责任：</w:t>
      </w:r>
      <w:r>
        <w:rPr>
          <w:rFonts w:hint="eastAsia" w:ascii="宋体" w:hAnsi="宋体" w:eastAsia="宋体" w:cs="宋体"/>
          <w:color w:val="auto"/>
          <w:sz w:val="24"/>
          <w:szCs w:val="24"/>
          <w:highlight w:val="none"/>
          <w:u w:val="single"/>
        </w:rPr>
        <w:t>发包人有权按照</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000元/人.天进行处罚  。</w:t>
      </w:r>
    </w:p>
    <w:p w14:paraId="6920EBCB">
      <w:pPr>
        <w:spacing w:after="120" w:line="360" w:lineRule="auto"/>
        <w:outlineLvl w:val="9"/>
        <w:rPr>
          <w:rFonts w:hint="eastAsia" w:ascii="宋体" w:hAnsi="宋体" w:eastAsia="宋体" w:cs="宋体"/>
          <w:sz w:val="24"/>
          <w:szCs w:val="24"/>
        </w:rPr>
      </w:pPr>
      <w:r>
        <w:rPr>
          <w:rFonts w:hint="eastAsia" w:ascii="宋体" w:hAnsi="宋体" w:eastAsia="宋体" w:cs="宋体"/>
          <w:sz w:val="24"/>
          <w:szCs w:val="24"/>
        </w:rPr>
        <w:t>3.5</w:t>
      </w:r>
      <w:bookmarkStart w:id="71" w:name="_Toc312677988"/>
      <w:bookmarkStart w:id="72" w:name="_Toc297216151"/>
      <w:bookmarkStart w:id="73" w:name="_Toc296503159"/>
      <w:bookmarkStart w:id="74" w:name="_Toc296944498"/>
      <w:bookmarkStart w:id="75" w:name="_Toc296347158"/>
      <w:bookmarkStart w:id="76" w:name="_Toc297048345"/>
      <w:bookmarkStart w:id="77" w:name="_Toc296346660"/>
      <w:bookmarkStart w:id="78" w:name="_Toc296890987"/>
      <w:bookmarkStart w:id="79" w:name="_Toc292559869"/>
      <w:bookmarkStart w:id="80" w:name="_Toc304295523"/>
      <w:bookmarkStart w:id="81" w:name="_Toc303539102"/>
      <w:bookmarkStart w:id="82" w:name="_Toc292559364"/>
      <w:bookmarkStart w:id="83" w:name="_Toc297123492"/>
      <w:bookmarkStart w:id="84" w:name="_Toc296891199"/>
      <w:bookmarkStart w:id="85" w:name="_Toc297120459"/>
      <w:bookmarkStart w:id="86" w:name="_Toc300934945"/>
      <w:r>
        <w:rPr>
          <w:rFonts w:hint="eastAsia" w:ascii="宋体" w:hAnsi="宋体" w:eastAsia="宋体" w:cs="宋体"/>
          <w:sz w:val="24"/>
          <w:szCs w:val="24"/>
        </w:rPr>
        <w:t xml:space="preserve"> 分包</w:t>
      </w:r>
    </w:p>
    <w:p w14:paraId="79D12993">
      <w:pPr>
        <w:spacing w:line="360" w:lineRule="auto"/>
        <w:ind w:firstLine="420"/>
        <w:outlineLvl w:val="9"/>
        <w:rPr>
          <w:rFonts w:hint="eastAsia" w:ascii="宋体" w:hAnsi="宋体" w:eastAsia="宋体" w:cs="宋体"/>
          <w:sz w:val="24"/>
          <w:szCs w:val="24"/>
        </w:rPr>
      </w:pPr>
      <w:r>
        <w:rPr>
          <w:rFonts w:hint="eastAsia" w:ascii="宋体" w:hAnsi="宋体" w:eastAsia="宋体" w:cs="宋体"/>
          <w:sz w:val="24"/>
          <w:szCs w:val="24"/>
        </w:rPr>
        <w:t>3.</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Pr>
          <w:rFonts w:hint="eastAsia" w:ascii="宋体" w:hAnsi="宋体" w:eastAsia="宋体" w:cs="宋体"/>
          <w:sz w:val="24"/>
          <w:szCs w:val="24"/>
        </w:rPr>
        <w:t>5</w:t>
      </w:r>
      <w:bookmarkStart w:id="87" w:name="_Toc297123493"/>
      <w:bookmarkStart w:id="88" w:name="_Toc297216152"/>
      <w:bookmarkStart w:id="89" w:name="_Toc304295524"/>
      <w:bookmarkStart w:id="90" w:name="_Toc297048346"/>
      <w:bookmarkStart w:id="91" w:name="_Toc292559870"/>
      <w:bookmarkStart w:id="92" w:name="_Toc296346661"/>
      <w:bookmarkStart w:id="93" w:name="_Toc303539103"/>
      <w:bookmarkStart w:id="94" w:name="_Toc300934946"/>
      <w:bookmarkStart w:id="95" w:name="_Toc297120460"/>
      <w:bookmarkStart w:id="96" w:name="_Toc318581158"/>
      <w:bookmarkStart w:id="97" w:name="_Toc312677989"/>
      <w:bookmarkStart w:id="98" w:name="_Toc296890988"/>
      <w:bookmarkStart w:id="99" w:name="_Toc296503160"/>
      <w:bookmarkStart w:id="100" w:name="_Toc292559365"/>
      <w:bookmarkStart w:id="101" w:name="_Toc296944499"/>
      <w:bookmarkStart w:id="102" w:name="_Toc296347159"/>
      <w:bookmarkStart w:id="103" w:name="_Toc296891200"/>
      <w:r>
        <w:rPr>
          <w:rFonts w:hint="eastAsia" w:ascii="宋体" w:hAnsi="宋体" w:eastAsia="宋体" w:cs="宋体"/>
          <w:sz w:val="24"/>
          <w:szCs w:val="24"/>
        </w:rPr>
        <w:t>.1 分包的一般约定</w:t>
      </w:r>
    </w:p>
    <w:p w14:paraId="611740BA">
      <w:pPr>
        <w:spacing w:line="360" w:lineRule="auto"/>
        <w:ind w:firstLine="420"/>
        <w:jc w:val="left"/>
        <w:outlineLvl w:val="9"/>
        <w:rPr>
          <w:rFonts w:hint="eastAsia" w:ascii="宋体" w:hAnsi="宋体" w:eastAsia="宋体" w:cs="宋体"/>
          <w:sz w:val="24"/>
          <w:szCs w:val="24"/>
          <w:u w:val="single"/>
        </w:rPr>
      </w:pPr>
      <w:r>
        <w:rPr>
          <w:rFonts w:hint="eastAsia" w:ascii="宋体" w:hAnsi="宋体" w:eastAsia="宋体" w:cs="宋体"/>
          <w:sz w:val="24"/>
          <w:szCs w:val="24"/>
        </w:rPr>
        <w:t>禁止分包的工程包括：</w:t>
      </w:r>
      <w:r>
        <w:rPr>
          <w:rFonts w:hint="eastAsia" w:ascii="宋体" w:hAnsi="宋体" w:eastAsia="宋体" w:cs="宋体"/>
          <w:sz w:val="24"/>
          <w:szCs w:val="24"/>
          <w:u w:val="single"/>
        </w:rPr>
        <w:t xml:space="preserve"> 执行国家法律规定。</w:t>
      </w:r>
    </w:p>
    <w:p w14:paraId="50866215">
      <w:pPr>
        <w:spacing w:line="360" w:lineRule="auto"/>
        <w:ind w:firstLine="420"/>
        <w:jc w:val="left"/>
        <w:outlineLvl w:val="9"/>
        <w:rPr>
          <w:rFonts w:hint="eastAsia" w:ascii="宋体" w:hAnsi="宋体" w:eastAsia="宋体" w:cs="宋体"/>
          <w:sz w:val="24"/>
          <w:szCs w:val="24"/>
          <w:u w:val="single"/>
        </w:rPr>
      </w:pPr>
      <w:r>
        <w:rPr>
          <w:rFonts w:hint="eastAsia" w:ascii="宋体" w:hAnsi="宋体" w:eastAsia="宋体" w:cs="宋体"/>
          <w:sz w:val="24"/>
          <w:szCs w:val="24"/>
        </w:rPr>
        <w:t>主体结构、关键性工作的范围：</w:t>
      </w:r>
      <w:r>
        <w:rPr>
          <w:rFonts w:hint="eastAsia" w:ascii="宋体" w:hAnsi="宋体" w:eastAsia="宋体" w:cs="宋体"/>
          <w:sz w:val="24"/>
          <w:szCs w:val="24"/>
          <w:u w:val="single"/>
        </w:rPr>
        <w:t xml:space="preserve">   /    </w:t>
      </w:r>
      <w:r>
        <w:rPr>
          <w:rFonts w:hint="eastAsia" w:ascii="宋体" w:hAnsi="宋体" w:eastAsia="宋体" w:cs="宋体"/>
          <w:sz w:val="24"/>
          <w:szCs w:val="24"/>
        </w:rPr>
        <w:t>。</w:t>
      </w:r>
    </w:p>
    <w:p w14:paraId="68FEF299">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 xml:space="preserve">  </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rPr>
          <w:rFonts w:hint="eastAsia" w:ascii="宋体" w:hAnsi="宋体" w:eastAsia="宋体" w:cs="宋体"/>
          <w:sz w:val="24"/>
          <w:szCs w:val="24"/>
        </w:rPr>
        <w:t xml:space="preserve">  3.5</w:t>
      </w:r>
      <w:bookmarkStart w:id="104" w:name="_Toc318581159"/>
      <w:bookmarkStart w:id="105" w:name="_Toc312677990"/>
      <w:r>
        <w:rPr>
          <w:rFonts w:hint="eastAsia" w:ascii="宋体" w:hAnsi="宋体" w:eastAsia="宋体" w:cs="宋体"/>
          <w:sz w:val="24"/>
          <w:szCs w:val="24"/>
        </w:rPr>
        <w:t>.2分包的确定</w:t>
      </w:r>
    </w:p>
    <w:p w14:paraId="4C1BD3B7">
      <w:pPr>
        <w:spacing w:line="360" w:lineRule="auto"/>
        <w:ind w:firstLine="420"/>
        <w:jc w:val="left"/>
        <w:outlineLvl w:val="9"/>
        <w:rPr>
          <w:rFonts w:hint="eastAsia" w:ascii="宋体" w:hAnsi="宋体" w:eastAsia="宋体" w:cs="宋体"/>
          <w:sz w:val="24"/>
          <w:szCs w:val="24"/>
          <w:u w:val="single"/>
        </w:rPr>
      </w:pPr>
      <w:r>
        <w:rPr>
          <w:rFonts w:hint="eastAsia" w:ascii="宋体" w:hAnsi="宋体" w:eastAsia="宋体" w:cs="宋体"/>
          <w:sz w:val="24"/>
          <w:szCs w:val="24"/>
        </w:rPr>
        <w:t>允许分包的专业工程包括：</w:t>
      </w:r>
      <w:r>
        <w:rPr>
          <w:rFonts w:hint="eastAsia" w:ascii="宋体" w:hAnsi="宋体" w:eastAsia="宋体" w:cs="宋体"/>
          <w:sz w:val="24"/>
          <w:szCs w:val="24"/>
          <w:u w:val="single"/>
        </w:rPr>
        <w:t xml:space="preserve"> 执行国家法律规定</w:t>
      </w:r>
      <w:r>
        <w:rPr>
          <w:rFonts w:hint="eastAsia" w:ascii="宋体" w:hAnsi="宋体" w:eastAsia="宋体" w:cs="宋体"/>
          <w:sz w:val="24"/>
          <w:szCs w:val="24"/>
        </w:rPr>
        <w:t>。</w:t>
      </w:r>
    </w:p>
    <w:p w14:paraId="3AD11D1D">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 xml:space="preserve">    其他关于分包的约定：</w:t>
      </w:r>
      <w:r>
        <w:rPr>
          <w:rFonts w:hint="eastAsia" w:ascii="宋体" w:hAnsi="宋体" w:eastAsia="宋体" w:cs="宋体"/>
          <w:sz w:val="24"/>
          <w:szCs w:val="24"/>
          <w:u w:val="single"/>
        </w:rPr>
        <w:t xml:space="preserve">   /    </w:t>
      </w:r>
      <w:r>
        <w:rPr>
          <w:rFonts w:hint="eastAsia" w:ascii="宋体" w:hAnsi="宋体" w:eastAsia="宋体" w:cs="宋体"/>
          <w:sz w:val="24"/>
          <w:szCs w:val="24"/>
        </w:rPr>
        <w:t>。</w:t>
      </w:r>
    </w:p>
    <w:p w14:paraId="373A2FAF">
      <w:pPr>
        <w:spacing w:line="360" w:lineRule="auto"/>
        <w:ind w:firstLine="420"/>
        <w:outlineLvl w:val="9"/>
        <w:rPr>
          <w:rFonts w:hint="eastAsia" w:ascii="宋体" w:hAnsi="宋体" w:eastAsia="宋体" w:cs="宋体"/>
          <w:sz w:val="24"/>
          <w:szCs w:val="24"/>
        </w:rPr>
      </w:pPr>
      <w:r>
        <w:rPr>
          <w:rFonts w:hint="eastAsia" w:ascii="宋体" w:hAnsi="宋体" w:eastAsia="宋体" w:cs="宋体"/>
          <w:sz w:val="24"/>
          <w:szCs w:val="24"/>
        </w:rPr>
        <w:t>3.5.4 分包合同价款</w:t>
      </w:r>
    </w:p>
    <w:p w14:paraId="34B6D160">
      <w:pPr>
        <w:spacing w:line="360" w:lineRule="auto"/>
        <w:ind w:firstLine="420"/>
        <w:outlineLvl w:val="9"/>
        <w:rPr>
          <w:rFonts w:hint="eastAsia" w:ascii="宋体" w:hAnsi="宋体" w:eastAsia="宋体" w:cs="宋体"/>
          <w:sz w:val="24"/>
          <w:szCs w:val="24"/>
        </w:rPr>
      </w:pPr>
      <w:r>
        <w:rPr>
          <w:rFonts w:hint="eastAsia" w:ascii="宋体" w:hAnsi="宋体" w:eastAsia="宋体" w:cs="宋体"/>
          <w:sz w:val="24"/>
          <w:szCs w:val="24"/>
        </w:rPr>
        <w:t>关于分包合同价款支付的约定：</w:t>
      </w:r>
      <w:r>
        <w:rPr>
          <w:rFonts w:hint="eastAsia" w:ascii="宋体" w:hAnsi="宋体" w:eastAsia="宋体" w:cs="宋体"/>
          <w:sz w:val="24"/>
          <w:szCs w:val="24"/>
          <w:u w:val="single"/>
        </w:rPr>
        <w:t xml:space="preserve">  /   </w:t>
      </w:r>
      <w:r>
        <w:rPr>
          <w:rFonts w:hint="eastAsia" w:ascii="宋体" w:hAnsi="宋体" w:eastAsia="宋体" w:cs="宋体"/>
          <w:sz w:val="24"/>
          <w:szCs w:val="24"/>
        </w:rPr>
        <w:t>。</w:t>
      </w:r>
    </w:p>
    <w:p w14:paraId="3E636C20">
      <w:pPr>
        <w:spacing w:after="120" w:line="360" w:lineRule="auto"/>
        <w:ind w:firstLine="420"/>
        <w:outlineLvl w:val="9"/>
        <w:rPr>
          <w:rFonts w:hint="eastAsia" w:ascii="宋体" w:hAnsi="宋体" w:eastAsia="宋体" w:cs="宋体"/>
          <w:sz w:val="24"/>
          <w:szCs w:val="24"/>
        </w:rPr>
      </w:pPr>
      <w:r>
        <w:rPr>
          <w:rFonts w:hint="eastAsia" w:ascii="宋体" w:hAnsi="宋体" w:eastAsia="宋体" w:cs="宋体"/>
          <w:sz w:val="24"/>
          <w:szCs w:val="24"/>
        </w:rPr>
        <w:t>3.</w:t>
      </w:r>
      <w:bookmarkEnd w:id="104"/>
      <w:bookmarkEnd w:id="105"/>
      <w:r>
        <w:rPr>
          <w:rFonts w:hint="eastAsia" w:ascii="宋体" w:hAnsi="宋体" w:eastAsia="宋体" w:cs="宋体"/>
          <w:sz w:val="24"/>
          <w:szCs w:val="24"/>
        </w:rPr>
        <w:t>6 工程照管与成品、半成品保护</w:t>
      </w:r>
    </w:p>
    <w:p w14:paraId="5505C204">
      <w:pPr>
        <w:spacing w:before="120" w:after="120" w:line="360" w:lineRule="auto"/>
        <w:ind w:firstLine="420"/>
        <w:jc w:val="left"/>
        <w:outlineLvl w:val="9"/>
        <w:rPr>
          <w:rFonts w:hint="eastAsia" w:ascii="宋体" w:hAnsi="宋体" w:eastAsia="宋体" w:cs="宋体"/>
          <w:sz w:val="24"/>
          <w:szCs w:val="24"/>
          <w:u w:val="single"/>
        </w:rPr>
      </w:pPr>
      <w:r>
        <w:rPr>
          <w:rFonts w:hint="eastAsia" w:ascii="宋体" w:hAnsi="宋体" w:eastAsia="宋体" w:cs="宋体"/>
          <w:sz w:val="24"/>
          <w:szCs w:val="24"/>
        </w:rPr>
        <w:t>承包人负责照管工程及工程相关的材料、工程设备的起始间：</w:t>
      </w:r>
      <w:r>
        <w:rPr>
          <w:rFonts w:hint="eastAsia" w:ascii="宋体" w:hAnsi="宋体" w:eastAsia="宋体" w:cs="宋体"/>
          <w:sz w:val="24"/>
          <w:szCs w:val="24"/>
          <w:u w:val="single"/>
        </w:rPr>
        <w:t xml:space="preserve"> 项目正式开工至项目移交至发包人或单位 </w:t>
      </w:r>
      <w:r>
        <w:rPr>
          <w:rFonts w:hint="eastAsia" w:ascii="宋体" w:hAnsi="宋体" w:eastAsia="宋体" w:cs="宋体"/>
          <w:sz w:val="24"/>
          <w:szCs w:val="24"/>
        </w:rPr>
        <w:t>。</w:t>
      </w:r>
    </w:p>
    <w:p w14:paraId="6B685A10">
      <w:pPr>
        <w:numPr>
          <w:ilvl w:val="3"/>
          <w:numId w:val="1"/>
        </w:numPr>
        <w:spacing w:before="0" w:after="0" w:line="360" w:lineRule="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 xml:space="preserve">3.7 履约担保 </w:t>
      </w:r>
    </w:p>
    <w:p w14:paraId="423DB2EA">
      <w:pPr>
        <w:keepNext w:val="0"/>
        <w:keepLines w:val="0"/>
        <w:pageBreakBefore w:val="0"/>
        <w:widowControl w:val="0"/>
        <w:numPr>
          <w:ilvl w:val="3"/>
          <w:numId w:val="1"/>
        </w:numPr>
        <w:kinsoku/>
        <w:wordWrap/>
        <w:overflowPunct/>
        <w:topLinePunct w:val="0"/>
        <w:autoSpaceDE/>
        <w:autoSpaceDN/>
        <w:bidi w:val="0"/>
        <w:adjustRightInd/>
        <w:snapToGrid/>
        <w:spacing w:before="0" w:after="0" w:line="360" w:lineRule="auto"/>
        <w:ind w:firstLine="480" w:firstLineChars="200"/>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承包人是否提供履约担保：</w:t>
      </w:r>
      <w:r>
        <w:rPr>
          <w:rFonts w:hint="eastAsia" w:ascii="宋体" w:hAnsi="宋体" w:eastAsia="宋体" w:cs="宋体"/>
          <w:b w:val="0"/>
          <w:color w:val="auto"/>
          <w:sz w:val="24"/>
          <w:szCs w:val="24"/>
          <w:highlight w:val="none"/>
          <w:u w:val="single"/>
        </w:rPr>
        <w:t xml:space="preserve"> </w:t>
      </w:r>
      <w:r>
        <w:rPr>
          <w:rFonts w:hint="eastAsia" w:ascii="宋体" w:hAnsi="宋体" w:cs="宋体"/>
          <w:b w:val="0"/>
          <w:color w:val="auto"/>
          <w:sz w:val="24"/>
          <w:szCs w:val="24"/>
          <w:highlight w:val="none"/>
          <w:u w:val="single"/>
          <w:lang w:val="en-US" w:eastAsia="zh-CN"/>
        </w:rPr>
        <w:t xml:space="preserve"> 否  </w:t>
      </w:r>
      <w:r>
        <w:rPr>
          <w:rFonts w:hint="eastAsia" w:ascii="宋体" w:hAnsi="宋体" w:eastAsia="宋体" w:cs="宋体"/>
          <w:b w:val="0"/>
          <w:color w:val="auto"/>
          <w:sz w:val="24"/>
          <w:szCs w:val="24"/>
          <w:highlight w:val="none"/>
          <w:u w:val="single"/>
        </w:rPr>
        <w:t xml:space="preserve"> </w:t>
      </w:r>
      <w:r>
        <w:rPr>
          <w:rFonts w:hint="eastAsia" w:ascii="宋体" w:hAnsi="宋体" w:eastAsia="宋体" w:cs="宋体"/>
          <w:b w:val="0"/>
          <w:color w:val="auto"/>
          <w:sz w:val="24"/>
          <w:szCs w:val="24"/>
          <w:highlight w:val="none"/>
        </w:rPr>
        <w:t xml:space="preserve">。 </w:t>
      </w:r>
    </w:p>
    <w:p w14:paraId="0F6AF944">
      <w:pPr>
        <w:keepNext w:val="0"/>
        <w:keepLines w:val="0"/>
        <w:pageBreakBefore w:val="0"/>
        <w:widowControl w:val="0"/>
        <w:numPr>
          <w:ilvl w:val="3"/>
          <w:numId w:val="1"/>
        </w:numPr>
        <w:kinsoku/>
        <w:wordWrap/>
        <w:overflowPunct/>
        <w:topLinePunct w:val="0"/>
        <w:autoSpaceDE/>
        <w:autoSpaceDN/>
        <w:bidi w:val="0"/>
        <w:adjustRightInd/>
        <w:snapToGrid/>
        <w:spacing w:before="0" w:after="0" w:line="360" w:lineRule="auto"/>
        <w:ind w:firstLine="480" w:firstLineChars="200"/>
        <w:textAlignment w:val="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承包人提供履约担保的形式、金额及期限：</w:t>
      </w:r>
      <w:r>
        <w:rPr>
          <w:rFonts w:hint="eastAsia" w:ascii="宋体" w:hAnsi="宋体" w:eastAsia="宋体" w:cs="宋体"/>
          <w:b w:val="0"/>
          <w:color w:val="auto"/>
          <w:sz w:val="24"/>
          <w:szCs w:val="24"/>
          <w:highlight w:val="none"/>
          <w:u w:val="single"/>
        </w:rPr>
        <w:t xml:space="preserve"> </w:t>
      </w:r>
      <w:r>
        <w:rPr>
          <w:rFonts w:hint="eastAsia" w:ascii="宋体" w:hAnsi="宋体" w:cs="宋体"/>
          <w:b w:val="0"/>
          <w:color w:val="auto"/>
          <w:sz w:val="24"/>
          <w:szCs w:val="24"/>
          <w:highlight w:val="none"/>
          <w:u w:val="single"/>
          <w:lang w:val="en-US" w:eastAsia="zh-CN"/>
        </w:rPr>
        <w:t xml:space="preserve">    /    </w:t>
      </w:r>
      <w:r>
        <w:rPr>
          <w:rFonts w:hint="eastAsia" w:ascii="宋体" w:hAnsi="宋体" w:eastAsia="宋体" w:cs="宋体"/>
          <w:b w:val="0"/>
          <w:color w:val="auto"/>
          <w:sz w:val="24"/>
          <w:szCs w:val="24"/>
          <w:highlight w:val="none"/>
        </w:rPr>
        <w:t>。</w:t>
      </w:r>
    </w:p>
    <w:p w14:paraId="1D07565F">
      <w:pPr>
        <w:spacing w:before="120" w:after="120" w:line="360" w:lineRule="auto"/>
        <w:jc w:val="left"/>
        <w:outlineLvl w:val="9"/>
        <w:rPr>
          <w:rFonts w:hint="eastAsia" w:ascii="宋体" w:hAnsi="宋体" w:eastAsia="宋体" w:cs="宋体"/>
          <w:b w:val="0"/>
          <w:bCs w:val="0"/>
          <w:sz w:val="24"/>
          <w:szCs w:val="24"/>
        </w:rPr>
      </w:pPr>
      <w:r>
        <w:rPr>
          <w:rFonts w:hint="eastAsia" w:ascii="宋体" w:hAnsi="宋体" w:eastAsia="宋体" w:cs="宋体"/>
          <w:b w:val="0"/>
          <w:bCs w:val="0"/>
          <w:sz w:val="24"/>
          <w:szCs w:val="24"/>
        </w:rPr>
        <w:t>4.</w:t>
      </w:r>
      <w:bookmarkStart w:id="106" w:name="_Toc351203636"/>
      <w:r>
        <w:rPr>
          <w:rFonts w:hint="eastAsia" w:ascii="宋体" w:hAnsi="宋体" w:eastAsia="宋体" w:cs="宋体"/>
          <w:b w:val="0"/>
          <w:bCs w:val="0"/>
          <w:sz w:val="24"/>
          <w:szCs w:val="24"/>
        </w:rPr>
        <w:t xml:space="preserve"> </w:t>
      </w:r>
      <w:bookmarkStart w:id="107" w:name="_Toc296944501"/>
      <w:bookmarkStart w:id="108" w:name="_Toc296346663"/>
      <w:bookmarkStart w:id="109" w:name="_Toc296890990"/>
      <w:bookmarkStart w:id="110" w:name="_Toc292559366"/>
      <w:bookmarkStart w:id="111" w:name="_Toc267251413"/>
      <w:bookmarkStart w:id="112" w:name="_Toc296891202"/>
      <w:bookmarkStart w:id="113" w:name="_Toc292559871"/>
      <w:bookmarkStart w:id="114" w:name="_Toc297120462"/>
      <w:bookmarkStart w:id="115" w:name="_Toc296347161"/>
      <w:bookmarkStart w:id="116" w:name="_Toc296503162"/>
      <w:bookmarkStart w:id="117" w:name="_Toc297048348"/>
      <w:r>
        <w:rPr>
          <w:rFonts w:hint="eastAsia" w:ascii="宋体" w:hAnsi="宋体" w:eastAsia="宋体" w:cs="宋体"/>
          <w:b w:val="0"/>
          <w:bCs w:val="0"/>
          <w:sz w:val="24"/>
          <w:szCs w:val="24"/>
        </w:rPr>
        <w:t>监理人</w:t>
      </w:r>
      <w:bookmarkEnd w:id="107"/>
      <w:bookmarkEnd w:id="108"/>
      <w:bookmarkEnd w:id="109"/>
      <w:bookmarkEnd w:id="110"/>
      <w:bookmarkEnd w:id="111"/>
      <w:bookmarkEnd w:id="112"/>
      <w:bookmarkEnd w:id="113"/>
      <w:bookmarkEnd w:id="114"/>
      <w:bookmarkEnd w:id="115"/>
      <w:bookmarkEnd w:id="116"/>
      <w:bookmarkEnd w:id="117"/>
    </w:p>
    <w:p w14:paraId="72AB18A1">
      <w:pPr>
        <w:spacing w:after="120" w:line="360" w:lineRule="auto"/>
        <w:ind w:firstLine="420"/>
        <w:jc w:val="left"/>
        <w:outlineLvl w:val="9"/>
        <w:rPr>
          <w:rFonts w:hint="eastAsia" w:ascii="宋体" w:hAnsi="宋体" w:eastAsia="宋体" w:cs="宋体"/>
          <w:sz w:val="24"/>
          <w:szCs w:val="24"/>
        </w:rPr>
      </w:pPr>
      <w:r>
        <w:rPr>
          <w:rFonts w:hint="eastAsia" w:ascii="宋体" w:hAnsi="宋体" w:eastAsia="宋体" w:cs="宋体"/>
          <w:sz w:val="24"/>
          <w:szCs w:val="24"/>
        </w:rPr>
        <w:t>4</w:t>
      </w:r>
      <w:bookmarkEnd w:id="106"/>
      <w:r>
        <w:rPr>
          <w:rFonts w:hint="eastAsia" w:ascii="宋体" w:hAnsi="宋体" w:eastAsia="宋体" w:cs="宋体"/>
          <w:sz w:val="24"/>
          <w:szCs w:val="24"/>
        </w:rPr>
        <w:t>.1监理人的一般规定</w:t>
      </w:r>
    </w:p>
    <w:p w14:paraId="075C2A88">
      <w:pPr>
        <w:spacing w:line="360" w:lineRule="auto"/>
        <w:ind w:firstLine="420"/>
        <w:jc w:val="left"/>
        <w:outlineLvl w:val="9"/>
        <w:rPr>
          <w:rFonts w:hint="eastAsia" w:ascii="宋体" w:hAnsi="宋体" w:eastAsia="宋体" w:cs="宋体"/>
          <w:sz w:val="24"/>
          <w:szCs w:val="24"/>
          <w:u w:val="single"/>
        </w:rPr>
      </w:pPr>
      <w:r>
        <w:rPr>
          <w:rFonts w:hint="eastAsia" w:ascii="宋体" w:hAnsi="宋体" w:eastAsia="宋体" w:cs="宋体"/>
          <w:sz w:val="24"/>
          <w:szCs w:val="24"/>
        </w:rPr>
        <w:t>关于监理人的监理内容：</w:t>
      </w:r>
      <w:r>
        <w:rPr>
          <w:rFonts w:hint="eastAsia" w:ascii="宋体" w:hAnsi="宋体" w:eastAsia="宋体" w:cs="宋体"/>
          <w:sz w:val="24"/>
          <w:szCs w:val="24"/>
          <w:u w:val="single"/>
        </w:rPr>
        <w:t xml:space="preserve">  执行发包人与监理人监理合同规条款约定。</w:t>
      </w:r>
    </w:p>
    <w:p w14:paraId="25D99B29">
      <w:pPr>
        <w:spacing w:line="360" w:lineRule="auto"/>
        <w:ind w:firstLine="420"/>
        <w:jc w:val="left"/>
        <w:outlineLvl w:val="9"/>
        <w:rPr>
          <w:rFonts w:hint="eastAsia" w:ascii="宋体" w:hAnsi="宋体" w:eastAsia="宋体" w:cs="宋体"/>
          <w:sz w:val="24"/>
          <w:szCs w:val="24"/>
        </w:rPr>
      </w:pPr>
      <w:r>
        <w:rPr>
          <w:rFonts w:hint="eastAsia" w:ascii="宋体" w:hAnsi="宋体" w:eastAsia="宋体" w:cs="宋体"/>
          <w:sz w:val="24"/>
          <w:szCs w:val="24"/>
        </w:rPr>
        <w:t>关于监理人的监理权限：</w:t>
      </w:r>
    </w:p>
    <w:p w14:paraId="3D6EB7F2">
      <w:pPr>
        <w:spacing w:line="360" w:lineRule="auto"/>
        <w:ind w:firstLine="420"/>
        <w:outlineLvl w:val="9"/>
        <w:rPr>
          <w:rFonts w:hint="eastAsia" w:ascii="宋体" w:hAnsi="宋体" w:eastAsia="宋体" w:cs="宋体"/>
          <w:sz w:val="24"/>
          <w:szCs w:val="24"/>
          <w:u w:val="single"/>
        </w:rPr>
      </w:pPr>
      <w:r>
        <w:rPr>
          <w:rFonts w:hint="eastAsia" w:ascii="宋体" w:hAnsi="宋体" w:eastAsia="宋体" w:cs="宋体"/>
          <w:sz w:val="24"/>
          <w:szCs w:val="24"/>
        </w:rPr>
        <w:t>（1）</w:t>
      </w:r>
      <w:r>
        <w:rPr>
          <w:rFonts w:hint="eastAsia" w:ascii="宋体" w:hAnsi="宋体" w:eastAsia="宋体" w:cs="宋体"/>
          <w:sz w:val="24"/>
          <w:szCs w:val="24"/>
          <w:u w:val="single"/>
        </w:rPr>
        <w:t>施工过程的质量、进度控制、合同管理和信息管理，施工中各种矛盾组织协调工作及全程监理。</w:t>
      </w:r>
    </w:p>
    <w:p w14:paraId="68786632">
      <w:pPr>
        <w:spacing w:line="360" w:lineRule="auto"/>
        <w:ind w:firstLine="420"/>
        <w:outlineLvl w:val="9"/>
        <w:rPr>
          <w:rFonts w:hint="eastAsia" w:ascii="宋体" w:hAnsi="宋体" w:eastAsia="宋体" w:cs="宋体"/>
          <w:sz w:val="24"/>
          <w:szCs w:val="24"/>
          <w:u w:val="single"/>
        </w:rPr>
      </w:pPr>
      <w:r>
        <w:rPr>
          <w:rFonts w:hint="eastAsia" w:ascii="宋体" w:hAnsi="宋体" w:eastAsia="宋体" w:cs="宋体"/>
          <w:sz w:val="24"/>
          <w:szCs w:val="24"/>
        </w:rPr>
        <w:t>（2）</w:t>
      </w:r>
      <w:r>
        <w:rPr>
          <w:rFonts w:hint="eastAsia" w:ascii="宋体" w:hAnsi="宋体" w:eastAsia="宋体" w:cs="宋体"/>
          <w:sz w:val="24"/>
          <w:szCs w:val="24"/>
          <w:u w:val="single"/>
        </w:rPr>
        <w:t>对工程建设有关事项包括工程规模、设计标准、规划设计、生产工艺设计和实用功能要求，向发包人的建议权。</w:t>
      </w:r>
    </w:p>
    <w:p w14:paraId="03DEC301">
      <w:pPr>
        <w:spacing w:line="360" w:lineRule="auto"/>
        <w:ind w:firstLine="420"/>
        <w:outlineLvl w:val="9"/>
        <w:rPr>
          <w:rFonts w:hint="eastAsia" w:ascii="宋体" w:hAnsi="宋体" w:eastAsia="宋体" w:cs="宋体"/>
          <w:sz w:val="24"/>
          <w:szCs w:val="24"/>
          <w:u w:val="single"/>
        </w:rPr>
      </w:pPr>
      <w:r>
        <w:rPr>
          <w:rFonts w:hint="eastAsia" w:ascii="宋体" w:hAnsi="宋体" w:eastAsia="宋体" w:cs="宋体"/>
          <w:sz w:val="24"/>
          <w:szCs w:val="24"/>
        </w:rPr>
        <w:t>（3）</w:t>
      </w:r>
      <w:r>
        <w:rPr>
          <w:rFonts w:hint="eastAsia" w:ascii="宋体" w:hAnsi="宋体" w:eastAsia="宋体" w:cs="宋体"/>
          <w:sz w:val="24"/>
          <w:szCs w:val="24"/>
          <w:u w:val="single"/>
        </w:rPr>
        <w:t>对工程设计中的技术问题，按照安全和优化的原则，向发包人提出建议；如果拟提出的建议可能会提高工程造价，或延长工期，应当事先对造价、工期进行评估，呈报书面材料征得发包人的同意。当发现工程设计不符合国家颁布的建设工程质量标准或涉及合同约定的质量标准时，监理人应当书面报告发包人并要求设计人更正。</w:t>
      </w:r>
    </w:p>
    <w:p w14:paraId="5385BD71">
      <w:pPr>
        <w:spacing w:line="360" w:lineRule="auto"/>
        <w:ind w:firstLine="420"/>
        <w:outlineLvl w:val="9"/>
        <w:rPr>
          <w:rFonts w:hint="eastAsia" w:ascii="宋体" w:hAnsi="宋体" w:eastAsia="宋体" w:cs="宋体"/>
          <w:sz w:val="24"/>
          <w:szCs w:val="24"/>
          <w:u w:val="single"/>
        </w:rPr>
      </w:pPr>
      <w:r>
        <w:rPr>
          <w:rFonts w:hint="eastAsia" w:ascii="宋体" w:hAnsi="宋体" w:eastAsia="宋体" w:cs="宋体"/>
          <w:sz w:val="24"/>
          <w:szCs w:val="24"/>
        </w:rPr>
        <w:t>（4）</w:t>
      </w:r>
      <w:r>
        <w:rPr>
          <w:rFonts w:hint="eastAsia" w:ascii="宋体" w:hAnsi="宋体" w:eastAsia="宋体" w:cs="宋体"/>
          <w:sz w:val="24"/>
          <w:szCs w:val="24"/>
          <w:u w:val="single"/>
        </w:rPr>
        <w:t>审批工程施工组织设计和技术方案，按照保质量、保工期和降低成本的原则，向承包人提出建议，并向发包人提出书面报告。</w:t>
      </w:r>
    </w:p>
    <w:p w14:paraId="001D3C55">
      <w:pPr>
        <w:spacing w:line="360" w:lineRule="auto"/>
        <w:ind w:firstLine="420"/>
        <w:outlineLvl w:val="9"/>
        <w:rPr>
          <w:rFonts w:hint="eastAsia" w:ascii="宋体" w:hAnsi="宋体" w:eastAsia="宋体" w:cs="宋体"/>
          <w:sz w:val="24"/>
          <w:szCs w:val="24"/>
          <w:u w:val="single"/>
        </w:rPr>
      </w:pPr>
      <w:r>
        <w:rPr>
          <w:rFonts w:hint="eastAsia" w:ascii="宋体" w:hAnsi="宋体" w:eastAsia="宋体" w:cs="宋体"/>
          <w:sz w:val="24"/>
          <w:szCs w:val="24"/>
        </w:rPr>
        <w:t>（5）</w:t>
      </w:r>
      <w:r>
        <w:rPr>
          <w:rFonts w:hint="eastAsia" w:ascii="宋体" w:hAnsi="宋体" w:eastAsia="宋体" w:cs="宋体"/>
          <w:sz w:val="24"/>
          <w:szCs w:val="24"/>
          <w:u w:val="single"/>
        </w:rPr>
        <w:t>主持工程建设有关协作单位的组织协调，重要协调事项应当事先向发包人报告。</w:t>
      </w:r>
    </w:p>
    <w:p w14:paraId="7D1D7085">
      <w:pPr>
        <w:spacing w:line="360" w:lineRule="auto"/>
        <w:ind w:firstLine="420"/>
        <w:outlineLvl w:val="9"/>
        <w:rPr>
          <w:rFonts w:hint="eastAsia" w:ascii="宋体" w:hAnsi="宋体" w:eastAsia="宋体" w:cs="宋体"/>
          <w:sz w:val="24"/>
          <w:szCs w:val="24"/>
          <w:u w:val="single"/>
        </w:rPr>
      </w:pPr>
      <w:r>
        <w:rPr>
          <w:rFonts w:hint="eastAsia" w:ascii="宋体" w:hAnsi="宋体" w:eastAsia="宋体" w:cs="宋体"/>
          <w:sz w:val="24"/>
          <w:szCs w:val="24"/>
        </w:rPr>
        <w:t>（6）</w:t>
      </w:r>
      <w:r>
        <w:rPr>
          <w:rFonts w:hint="eastAsia" w:ascii="宋体" w:hAnsi="宋体" w:eastAsia="宋体" w:cs="宋体"/>
          <w:sz w:val="24"/>
          <w:szCs w:val="24"/>
          <w:u w:val="single"/>
        </w:rPr>
        <w:t>征得发包人同意，监理人有权发布开工令、停工令、复工令，但应当事先向发包人报告并取得发包人同意方可，如在紧急情况下未能实现报告时，则应在24小时内向发包人作出书面报告。</w:t>
      </w:r>
    </w:p>
    <w:p w14:paraId="304AC625">
      <w:pPr>
        <w:spacing w:line="360" w:lineRule="auto"/>
        <w:ind w:firstLine="420"/>
        <w:outlineLvl w:val="9"/>
        <w:rPr>
          <w:rFonts w:hint="eastAsia" w:ascii="宋体" w:hAnsi="宋体" w:eastAsia="宋体" w:cs="宋体"/>
          <w:sz w:val="24"/>
          <w:szCs w:val="24"/>
          <w:u w:val="single"/>
        </w:rPr>
      </w:pPr>
      <w:r>
        <w:rPr>
          <w:rFonts w:hint="eastAsia" w:ascii="宋体" w:hAnsi="宋体" w:eastAsia="宋体" w:cs="宋体"/>
          <w:sz w:val="24"/>
          <w:szCs w:val="24"/>
        </w:rPr>
        <w:t>（7）</w:t>
      </w:r>
      <w:r>
        <w:rPr>
          <w:rFonts w:hint="eastAsia" w:ascii="宋体" w:hAnsi="宋体" w:eastAsia="宋体" w:cs="宋体"/>
          <w:sz w:val="24"/>
          <w:szCs w:val="24"/>
          <w:u w:val="single"/>
        </w:rPr>
        <w:t>工程上使用的材料和施工质量的检验权。对于不符合设计要求和合同约定及国家质量标准的材料、结构配件、设备，有权通知承包人停止使用；对于不符合规范和质量标准的工序、分部、分项工程和不安全施工作业，有权通知承包人停工整改、返工。承包人得到监理机构复工令后才能复工。</w:t>
      </w:r>
    </w:p>
    <w:p w14:paraId="37501B52">
      <w:pPr>
        <w:spacing w:line="360" w:lineRule="auto"/>
        <w:ind w:firstLine="420"/>
        <w:outlineLvl w:val="9"/>
        <w:rPr>
          <w:rFonts w:hint="eastAsia" w:ascii="宋体" w:hAnsi="宋体" w:eastAsia="宋体" w:cs="宋体"/>
          <w:sz w:val="24"/>
          <w:szCs w:val="24"/>
          <w:u w:val="single"/>
        </w:rPr>
      </w:pPr>
      <w:r>
        <w:rPr>
          <w:rFonts w:hint="eastAsia" w:ascii="宋体" w:hAnsi="宋体" w:eastAsia="宋体" w:cs="宋体"/>
          <w:sz w:val="24"/>
          <w:szCs w:val="24"/>
        </w:rPr>
        <w:t>（8）</w:t>
      </w:r>
      <w:r>
        <w:rPr>
          <w:rFonts w:hint="eastAsia" w:ascii="宋体" w:hAnsi="宋体" w:eastAsia="宋体" w:cs="宋体"/>
          <w:sz w:val="24"/>
          <w:szCs w:val="24"/>
          <w:u w:val="single"/>
        </w:rPr>
        <w:t>工程施工进度的检查、监督权、以及公司实际竣工日期提前或超过工程施工合同规定的竣工期限的签认权。</w:t>
      </w:r>
    </w:p>
    <w:p w14:paraId="3CDF8A66">
      <w:pPr>
        <w:spacing w:line="360" w:lineRule="auto"/>
        <w:ind w:firstLine="420"/>
        <w:outlineLvl w:val="9"/>
        <w:rPr>
          <w:rFonts w:hint="eastAsia" w:ascii="宋体" w:hAnsi="宋体" w:eastAsia="宋体" w:cs="宋体"/>
          <w:sz w:val="24"/>
          <w:szCs w:val="24"/>
          <w:u w:val="single"/>
        </w:rPr>
      </w:pPr>
      <w:r>
        <w:rPr>
          <w:rFonts w:hint="eastAsia" w:ascii="宋体" w:hAnsi="宋体" w:eastAsia="宋体" w:cs="宋体"/>
          <w:sz w:val="24"/>
          <w:szCs w:val="24"/>
        </w:rPr>
        <w:t>（9）</w:t>
      </w:r>
      <w:r>
        <w:rPr>
          <w:rFonts w:hint="eastAsia" w:ascii="宋体" w:hAnsi="宋体" w:eastAsia="宋体" w:cs="宋体"/>
          <w:sz w:val="24"/>
          <w:szCs w:val="24"/>
          <w:u w:val="single"/>
        </w:rPr>
        <w:t>在工程施工合同约定的工程价格范围内，工程款支付的审核和签认权，以及工程结算的复核确认权与否决权。未经总监理工程师签字确认，发包人不支付工程款。</w:t>
      </w:r>
    </w:p>
    <w:p w14:paraId="7631C577">
      <w:pPr>
        <w:spacing w:line="360" w:lineRule="auto"/>
        <w:ind w:firstLine="420"/>
        <w:outlineLvl w:val="9"/>
        <w:rPr>
          <w:rFonts w:hint="eastAsia" w:ascii="宋体" w:hAnsi="宋体" w:eastAsia="宋体" w:cs="宋体"/>
          <w:sz w:val="24"/>
          <w:szCs w:val="24"/>
          <w:u w:val="single"/>
        </w:rPr>
      </w:pPr>
      <w:r>
        <w:rPr>
          <w:rFonts w:hint="eastAsia" w:ascii="宋体" w:hAnsi="宋体" w:eastAsia="宋体" w:cs="宋体"/>
          <w:sz w:val="24"/>
          <w:szCs w:val="24"/>
        </w:rPr>
        <w:t>需要取得发包人批准才能行使的职权：</w:t>
      </w:r>
      <w:r>
        <w:rPr>
          <w:rFonts w:hint="eastAsia" w:ascii="宋体" w:hAnsi="宋体" w:eastAsia="宋体" w:cs="宋体"/>
          <w:sz w:val="24"/>
          <w:szCs w:val="24"/>
          <w:u w:val="single"/>
        </w:rPr>
        <w:t>①设计变更；②工期延误索赔或签证，工程量及费用增减的索赔或签证；③工程款支付；④分包商的确定；⑤主要材料的确定；⑥施工组织设计、施工总进度计划的审定；⑦其他重要突发事件处理决定见本工程建设监理合同约定权限以及发包人以书面形式通知监理工程师的其他权限；⑧停工、复工通知；⑨发包人认为须取得批准方可实施的其它重要事项。</w:t>
      </w:r>
    </w:p>
    <w:p w14:paraId="061426A1">
      <w:pPr>
        <w:spacing w:line="360" w:lineRule="auto"/>
        <w:ind w:firstLine="420"/>
        <w:outlineLvl w:val="9"/>
        <w:rPr>
          <w:rFonts w:hint="eastAsia" w:ascii="宋体" w:hAnsi="宋体" w:eastAsia="宋体" w:cs="宋体"/>
          <w:b w:val="0"/>
          <w:color w:val="auto"/>
          <w:sz w:val="24"/>
          <w:szCs w:val="24"/>
          <w:highlight w:val="none"/>
        </w:rPr>
      </w:pPr>
      <w:r>
        <w:rPr>
          <w:rFonts w:hint="eastAsia" w:ascii="宋体" w:hAnsi="宋体" w:eastAsia="宋体" w:cs="宋体"/>
          <w:sz w:val="24"/>
          <w:szCs w:val="24"/>
        </w:rPr>
        <w:t>关于监理人在施工现场的办公场所、生活场所的提供和费用承担的约定：</w:t>
      </w:r>
      <w:r>
        <w:rPr>
          <w:rFonts w:hint="eastAsia" w:ascii="宋体" w:hAnsi="宋体" w:eastAsia="宋体" w:cs="宋体"/>
          <w:sz w:val="24"/>
          <w:szCs w:val="24"/>
          <w:u w:val="single"/>
        </w:rPr>
        <w:t xml:space="preserve">  由承包人提供办公场所、生活场所，满足发包人及监理人的要求，并承担相应费用以及水电费</w:t>
      </w:r>
      <w:r>
        <w:rPr>
          <w:rFonts w:hint="eastAsia" w:ascii="宋体" w:hAnsi="宋体" w:eastAsia="宋体" w:cs="宋体"/>
          <w:sz w:val="24"/>
          <w:szCs w:val="24"/>
        </w:rPr>
        <w:t>。</w:t>
      </w:r>
    </w:p>
    <w:p w14:paraId="335A73C9">
      <w:pPr>
        <w:numPr>
          <w:ilvl w:val="3"/>
          <w:numId w:val="1"/>
        </w:numPr>
        <w:spacing w:before="0" w:after="0" w:line="360" w:lineRule="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5</w:t>
      </w:r>
      <w:bookmarkEnd w:id="69"/>
      <w:bookmarkStart w:id="118" w:name="_Toc292559367"/>
      <w:bookmarkStart w:id="119" w:name="_Toc292559872"/>
      <w:bookmarkStart w:id="120" w:name="_Toc296347162"/>
      <w:bookmarkStart w:id="121" w:name="_Toc296346664"/>
      <w:bookmarkStart w:id="122" w:name="_Toc296503163"/>
      <w:bookmarkStart w:id="123" w:name="_Toc296891203"/>
      <w:bookmarkStart w:id="124" w:name="_Toc297120463"/>
      <w:bookmarkStart w:id="125" w:name="_Toc297048349"/>
      <w:bookmarkStart w:id="126" w:name="_Toc296890991"/>
      <w:bookmarkStart w:id="127" w:name="_Toc296944502"/>
      <w:r>
        <w:rPr>
          <w:rFonts w:hint="eastAsia" w:ascii="宋体" w:hAnsi="宋体" w:eastAsia="宋体" w:cs="宋体"/>
          <w:b w:val="0"/>
          <w:color w:val="auto"/>
          <w:sz w:val="24"/>
          <w:szCs w:val="24"/>
          <w:highlight w:val="none"/>
        </w:rPr>
        <w:t>. 工程质量</w:t>
      </w:r>
      <w:bookmarkEnd w:id="70"/>
    </w:p>
    <w:p w14:paraId="5CDD5BB7">
      <w:pPr>
        <w:spacing w:line="360" w:lineRule="auto"/>
        <w:ind w:firstLine="420"/>
        <w:outlineLvl w:val="9"/>
        <w:rPr>
          <w:rFonts w:hint="eastAsia" w:ascii="宋体" w:hAnsi="宋体" w:eastAsia="宋体" w:cs="宋体"/>
          <w:sz w:val="24"/>
          <w:szCs w:val="24"/>
        </w:rPr>
      </w:pPr>
      <w:bookmarkStart w:id="128" w:name="_Toc351203638"/>
      <w:bookmarkStart w:id="129" w:name="_Toc304295527"/>
      <w:bookmarkStart w:id="130" w:name="_Toc303539106"/>
      <w:bookmarkStart w:id="131" w:name="_Toc297216155"/>
      <w:bookmarkStart w:id="132" w:name="_Toc312677997"/>
      <w:bookmarkStart w:id="133" w:name="_Toc297123496"/>
      <w:bookmarkStart w:id="134" w:name="_Toc318581164"/>
      <w:bookmarkStart w:id="135" w:name="_Toc300934949"/>
      <w:r>
        <w:rPr>
          <w:rFonts w:hint="eastAsia" w:ascii="宋体" w:hAnsi="宋体" w:eastAsia="宋体" w:cs="宋体"/>
          <w:sz w:val="24"/>
          <w:szCs w:val="24"/>
        </w:rPr>
        <w:t>5.1 质量要求</w:t>
      </w:r>
    </w:p>
    <w:p w14:paraId="34FA38A1">
      <w:pPr>
        <w:spacing w:line="360" w:lineRule="auto"/>
        <w:ind w:firstLine="420"/>
        <w:outlineLvl w:val="9"/>
        <w:rPr>
          <w:rFonts w:hint="eastAsia" w:ascii="宋体" w:hAnsi="宋体" w:eastAsia="宋体" w:cs="宋体"/>
          <w:sz w:val="24"/>
          <w:szCs w:val="24"/>
        </w:rPr>
      </w:pPr>
      <w:r>
        <w:rPr>
          <w:rFonts w:hint="eastAsia" w:ascii="宋体" w:hAnsi="宋体" w:eastAsia="宋体" w:cs="宋体"/>
          <w:sz w:val="24"/>
          <w:szCs w:val="24"/>
        </w:rPr>
        <w:t>5.1.1 特殊质量标准和要求：达到国家现行施工验收规范“合格”标准。</w:t>
      </w:r>
    </w:p>
    <w:p w14:paraId="6152FB3A">
      <w:pPr>
        <w:spacing w:line="360" w:lineRule="auto"/>
        <w:ind w:firstLine="420"/>
        <w:jc w:val="left"/>
        <w:outlineLvl w:val="9"/>
        <w:rPr>
          <w:rFonts w:hint="eastAsia" w:ascii="宋体" w:hAnsi="宋体" w:eastAsia="宋体" w:cs="宋体"/>
          <w:sz w:val="24"/>
          <w:szCs w:val="24"/>
        </w:rPr>
      </w:pPr>
      <w:r>
        <w:rPr>
          <w:rFonts w:hint="eastAsia" w:ascii="宋体" w:hAnsi="宋体" w:eastAsia="宋体" w:cs="宋体"/>
          <w:sz w:val="24"/>
          <w:szCs w:val="24"/>
        </w:rPr>
        <w:t>关于工程奖项的约定：</w:t>
      </w:r>
      <w:r>
        <w:rPr>
          <w:rFonts w:hint="eastAsia" w:ascii="宋体" w:hAnsi="宋体" w:eastAsia="宋体" w:cs="宋体"/>
          <w:sz w:val="24"/>
          <w:szCs w:val="24"/>
          <w:u w:val="single"/>
        </w:rPr>
        <w:t xml:space="preserve">    /    </w:t>
      </w:r>
      <w:r>
        <w:rPr>
          <w:rFonts w:hint="eastAsia" w:ascii="宋体" w:hAnsi="宋体" w:eastAsia="宋体" w:cs="宋体"/>
          <w:sz w:val="24"/>
          <w:szCs w:val="24"/>
        </w:rPr>
        <w:t>。</w:t>
      </w:r>
    </w:p>
    <w:p w14:paraId="28DF8F35">
      <w:pPr>
        <w:spacing w:line="360" w:lineRule="auto"/>
        <w:ind w:firstLine="420"/>
        <w:outlineLvl w:val="9"/>
        <w:rPr>
          <w:rFonts w:hint="eastAsia" w:ascii="宋体" w:hAnsi="宋体" w:eastAsia="宋体" w:cs="宋体"/>
          <w:sz w:val="24"/>
          <w:szCs w:val="24"/>
        </w:rPr>
      </w:pPr>
      <w:r>
        <w:rPr>
          <w:rFonts w:hint="eastAsia" w:ascii="宋体" w:hAnsi="宋体" w:eastAsia="宋体" w:cs="宋体"/>
          <w:sz w:val="24"/>
          <w:szCs w:val="24"/>
        </w:rPr>
        <w:t>5.3 隐蔽工程检查</w:t>
      </w:r>
    </w:p>
    <w:p w14:paraId="2F7EC6B0">
      <w:pPr>
        <w:spacing w:line="360" w:lineRule="auto"/>
        <w:ind w:firstLine="420"/>
        <w:jc w:val="left"/>
        <w:outlineLvl w:val="9"/>
        <w:rPr>
          <w:rFonts w:hint="eastAsia" w:ascii="宋体" w:hAnsi="宋体" w:eastAsia="宋体" w:cs="宋体"/>
          <w:sz w:val="24"/>
          <w:szCs w:val="24"/>
          <w:u w:val="single"/>
        </w:rPr>
      </w:pPr>
      <w:r>
        <w:rPr>
          <w:rFonts w:hint="eastAsia" w:ascii="宋体" w:hAnsi="宋体" w:eastAsia="宋体" w:cs="宋体"/>
          <w:sz w:val="24"/>
          <w:szCs w:val="24"/>
        </w:rPr>
        <w:t>5.3.2承包人提前通知监理人隐蔽工程检查的期限的约定：</w:t>
      </w:r>
      <w:r>
        <w:rPr>
          <w:rFonts w:hint="eastAsia" w:ascii="宋体" w:hAnsi="宋体" w:eastAsia="宋体" w:cs="宋体"/>
          <w:sz w:val="24"/>
          <w:szCs w:val="24"/>
          <w:u w:val="single"/>
        </w:rPr>
        <w:t xml:space="preserve">    24小时    。</w:t>
      </w:r>
    </w:p>
    <w:p w14:paraId="75F23F4E">
      <w:pPr>
        <w:spacing w:line="360" w:lineRule="auto"/>
        <w:ind w:firstLine="420"/>
        <w:jc w:val="left"/>
        <w:outlineLvl w:val="9"/>
        <w:rPr>
          <w:rFonts w:hint="eastAsia" w:ascii="宋体" w:hAnsi="宋体" w:eastAsia="宋体" w:cs="宋体"/>
          <w:sz w:val="24"/>
          <w:szCs w:val="24"/>
        </w:rPr>
      </w:pPr>
      <w:r>
        <w:rPr>
          <w:rFonts w:hint="eastAsia" w:ascii="宋体" w:hAnsi="宋体" w:eastAsia="宋体" w:cs="宋体"/>
          <w:sz w:val="24"/>
          <w:szCs w:val="24"/>
        </w:rPr>
        <w:t>监理人不能按时进行检查时，应提前</w:t>
      </w:r>
      <w:r>
        <w:rPr>
          <w:rFonts w:hint="eastAsia" w:ascii="宋体" w:hAnsi="宋体" w:eastAsia="宋体" w:cs="宋体"/>
          <w:sz w:val="24"/>
          <w:szCs w:val="24"/>
          <w:u w:val="single"/>
        </w:rPr>
        <w:t xml:space="preserve">   24   </w:t>
      </w:r>
      <w:r>
        <w:rPr>
          <w:rFonts w:hint="eastAsia" w:ascii="宋体" w:hAnsi="宋体" w:eastAsia="宋体" w:cs="宋体"/>
          <w:sz w:val="24"/>
          <w:szCs w:val="24"/>
        </w:rPr>
        <w:t>小时提交书面延期要求。</w:t>
      </w:r>
    </w:p>
    <w:p w14:paraId="5385C9E7">
      <w:pPr>
        <w:spacing w:line="360" w:lineRule="auto"/>
        <w:ind w:firstLine="420"/>
        <w:jc w:val="left"/>
        <w:outlineLvl w:val="9"/>
        <w:rPr>
          <w:rFonts w:hint="eastAsia" w:ascii="宋体" w:hAnsi="宋体" w:eastAsia="宋体" w:cs="宋体"/>
          <w:sz w:val="24"/>
          <w:szCs w:val="24"/>
        </w:rPr>
      </w:pPr>
      <w:r>
        <w:rPr>
          <w:rFonts w:hint="eastAsia" w:ascii="宋体" w:hAnsi="宋体" w:eastAsia="宋体" w:cs="宋体"/>
          <w:sz w:val="24"/>
          <w:szCs w:val="24"/>
        </w:rPr>
        <w:t>关于延期最长不得超过：</w:t>
      </w:r>
      <w:r>
        <w:rPr>
          <w:rFonts w:hint="eastAsia" w:ascii="宋体" w:hAnsi="宋体" w:eastAsia="宋体" w:cs="宋体"/>
          <w:sz w:val="24"/>
          <w:szCs w:val="24"/>
          <w:u w:val="single"/>
        </w:rPr>
        <w:t xml:space="preserve">    24     </w:t>
      </w:r>
      <w:r>
        <w:rPr>
          <w:rFonts w:hint="eastAsia" w:ascii="宋体" w:hAnsi="宋体" w:eastAsia="宋体" w:cs="宋体"/>
          <w:sz w:val="24"/>
          <w:szCs w:val="24"/>
        </w:rPr>
        <w:t>小时。</w:t>
      </w:r>
    </w:p>
    <w:p w14:paraId="2C2D84DD">
      <w:pPr>
        <w:spacing w:line="360" w:lineRule="auto"/>
        <w:jc w:val="left"/>
        <w:outlineLvl w:val="9"/>
        <w:rPr>
          <w:rFonts w:hint="eastAsia" w:ascii="宋体" w:hAnsi="宋体" w:eastAsia="宋体" w:cs="宋体"/>
          <w:sz w:val="24"/>
          <w:szCs w:val="24"/>
          <w:u w:val="none"/>
        </w:rPr>
      </w:pPr>
      <w:r>
        <w:rPr>
          <w:rFonts w:hint="eastAsia" w:ascii="宋体" w:hAnsi="宋体" w:eastAsia="宋体" w:cs="宋体"/>
          <w:b w:val="0"/>
          <w:color w:val="auto"/>
          <w:sz w:val="24"/>
          <w:szCs w:val="24"/>
          <w:highlight w:val="none"/>
          <w:u w:val="none"/>
        </w:rPr>
        <w:t>6.</w:t>
      </w:r>
      <w:r>
        <w:rPr>
          <w:rFonts w:hint="eastAsia" w:ascii="宋体" w:hAnsi="宋体" w:eastAsia="宋体" w:cs="宋体"/>
          <w:sz w:val="24"/>
          <w:szCs w:val="24"/>
          <w:u w:val="none"/>
        </w:rPr>
        <w:t xml:space="preserve"> 安全文明施工与环境保护</w:t>
      </w:r>
      <w:bookmarkEnd w:id="128"/>
    </w:p>
    <w:p w14:paraId="2512B90A">
      <w:pPr>
        <w:spacing w:line="360" w:lineRule="auto"/>
        <w:ind w:firstLine="480" w:firstLineChars="200"/>
        <w:jc w:val="left"/>
        <w:outlineLvl w:val="9"/>
        <w:rPr>
          <w:rFonts w:hint="eastAsia" w:ascii="宋体" w:hAnsi="宋体" w:eastAsia="宋体" w:cs="宋体"/>
          <w:sz w:val="24"/>
          <w:szCs w:val="24"/>
          <w:u w:val="none"/>
        </w:rPr>
      </w:pPr>
      <w:r>
        <w:rPr>
          <w:rFonts w:hint="eastAsia" w:ascii="宋体" w:hAnsi="宋体" w:eastAsia="宋体" w:cs="宋体"/>
          <w:sz w:val="24"/>
          <w:szCs w:val="24"/>
          <w:u w:val="none"/>
        </w:rPr>
        <w:t>6.1安全文明施工</w:t>
      </w:r>
    </w:p>
    <w:p w14:paraId="6627179F">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6.1.5 文明施工</w:t>
      </w:r>
    </w:p>
    <w:p w14:paraId="0383D04F">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合同当事人对文明施工的要求：</w:t>
      </w:r>
      <w:r>
        <w:rPr>
          <w:rFonts w:hint="eastAsia" w:ascii="宋体" w:hAnsi="宋体" w:eastAsia="宋体" w:cs="宋体"/>
          <w:color w:val="auto"/>
          <w:sz w:val="24"/>
          <w:szCs w:val="24"/>
          <w:highlight w:val="none"/>
          <w:u w:val="single"/>
        </w:rPr>
        <w:t xml:space="preserve">凡本工程范围内的及与之相关的施工安全保卫工作及非夜间施工照明的责任由承包人承担,并须满足国家、地方有关此方面的规定  </w:t>
      </w:r>
      <w:r>
        <w:rPr>
          <w:rFonts w:hint="eastAsia" w:ascii="宋体" w:hAnsi="宋体" w:eastAsia="宋体" w:cs="宋体"/>
          <w:color w:val="auto"/>
          <w:sz w:val="24"/>
          <w:szCs w:val="24"/>
          <w:highlight w:val="none"/>
        </w:rPr>
        <w:t>。</w:t>
      </w:r>
    </w:p>
    <w:p w14:paraId="62F0AD45">
      <w:pPr>
        <w:spacing w:line="360" w:lineRule="auto"/>
        <w:ind w:firstLine="480" w:firstLineChars="200"/>
        <w:jc w:val="left"/>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6.1.6 关于安全文明施工费支付比例和支付期限的定：</w:t>
      </w:r>
      <w:r>
        <w:rPr>
          <w:rFonts w:hint="eastAsia" w:ascii="宋体" w:hAnsi="宋体" w:eastAsia="宋体" w:cs="宋体"/>
          <w:color w:val="auto"/>
          <w:sz w:val="24"/>
          <w:szCs w:val="24"/>
          <w:highlight w:val="none"/>
          <w:u w:val="single"/>
        </w:rPr>
        <w:t xml:space="preserve"> </w:t>
      </w:r>
      <w:r>
        <w:rPr>
          <w:rFonts w:hint="eastAsia" w:ascii="宋体" w:hAnsi="宋体" w:cs="宋体"/>
          <w:color w:val="auto"/>
          <w:kern w:val="0"/>
          <w:sz w:val="24"/>
          <w:szCs w:val="24"/>
          <w:u w:val="single"/>
          <w:lang w:val="en-US" w:eastAsia="zh-CN" w:bidi="ar"/>
        </w:rPr>
        <w:t>/</w:t>
      </w:r>
      <w:r>
        <w:rPr>
          <w:rFonts w:hint="eastAsia" w:ascii="宋体" w:hAnsi="宋体" w:eastAsia="宋体" w:cs="宋体"/>
          <w:color w:val="auto"/>
          <w:kern w:val="0"/>
          <w:sz w:val="24"/>
          <w:szCs w:val="24"/>
          <w:u w:val="single"/>
          <w:lang w:val="en-US" w:eastAsia="zh-CN" w:bidi="ar"/>
        </w:rPr>
        <w:t xml:space="preserve"> </w:t>
      </w:r>
      <w:r>
        <w:rPr>
          <w:rFonts w:hint="eastAsia" w:ascii="宋体" w:hAnsi="宋体" w:eastAsia="宋体" w:cs="宋体"/>
          <w:color w:val="auto"/>
          <w:sz w:val="24"/>
          <w:szCs w:val="24"/>
          <w:highlight w:val="none"/>
          <w:u w:val="single"/>
        </w:rPr>
        <w:t xml:space="preserve"> </w:t>
      </w:r>
    </w:p>
    <w:bookmarkEnd w:id="129"/>
    <w:bookmarkEnd w:id="130"/>
    <w:bookmarkEnd w:id="131"/>
    <w:bookmarkEnd w:id="132"/>
    <w:bookmarkEnd w:id="133"/>
    <w:bookmarkEnd w:id="134"/>
    <w:bookmarkEnd w:id="135"/>
    <w:p w14:paraId="5B5597AD">
      <w:pPr>
        <w:numPr>
          <w:ilvl w:val="3"/>
          <w:numId w:val="1"/>
        </w:numPr>
        <w:spacing w:before="0" w:after="0" w:line="360" w:lineRule="auto"/>
        <w:outlineLvl w:val="9"/>
        <w:rPr>
          <w:rFonts w:hint="eastAsia" w:ascii="宋体" w:hAnsi="宋体" w:eastAsia="宋体" w:cs="宋体"/>
          <w:b w:val="0"/>
          <w:color w:val="auto"/>
          <w:sz w:val="24"/>
          <w:szCs w:val="24"/>
          <w:highlight w:val="none"/>
        </w:rPr>
      </w:pPr>
      <w:bookmarkStart w:id="136" w:name="_Toc351203639"/>
      <w:r>
        <w:rPr>
          <w:rFonts w:hint="eastAsia" w:ascii="宋体" w:hAnsi="宋体" w:eastAsia="宋体" w:cs="宋体"/>
          <w:b w:val="0"/>
          <w:color w:val="auto"/>
          <w:sz w:val="24"/>
          <w:szCs w:val="24"/>
          <w:highlight w:val="none"/>
        </w:rPr>
        <w:t>7. 工期和进度</w:t>
      </w:r>
      <w:bookmarkEnd w:id="136"/>
    </w:p>
    <w:p w14:paraId="73938CB4">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 施工组织设计</w:t>
      </w:r>
    </w:p>
    <w:p w14:paraId="4A14B9CF">
      <w:pPr>
        <w:autoSpaceDE w:val="0"/>
        <w:autoSpaceDN w:val="0"/>
        <w:adjustRightInd w:val="0"/>
        <w:spacing w:line="360" w:lineRule="auto"/>
        <w:ind w:firstLine="480" w:firstLineChars="200"/>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7.1.1 合</w:t>
      </w:r>
      <w:r>
        <w:rPr>
          <w:rFonts w:hint="eastAsia" w:ascii="宋体" w:hAnsi="宋体" w:eastAsia="宋体" w:cs="宋体"/>
          <w:color w:val="auto"/>
          <w:kern w:val="0"/>
          <w:sz w:val="24"/>
          <w:szCs w:val="24"/>
          <w:highlight w:val="none"/>
        </w:rPr>
        <w:t>同当事人约定的施工组织设计应包括的其他内容：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266B507">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137" w:name="_Toc312677484"/>
      <w:bookmarkStart w:id="138" w:name="_Toc297123516"/>
      <w:bookmarkStart w:id="139" w:name="_Toc303539125"/>
      <w:bookmarkStart w:id="140" w:name="_Toc300934968"/>
      <w:bookmarkStart w:id="141" w:name="_Toc304295546"/>
      <w:bookmarkStart w:id="142" w:name="_Toc312678010"/>
      <w:bookmarkStart w:id="143" w:name="_Toc297216175"/>
      <w:r>
        <w:rPr>
          <w:rFonts w:hint="eastAsia" w:ascii="宋体" w:hAnsi="宋体" w:eastAsia="宋体" w:cs="宋体"/>
          <w:color w:val="auto"/>
          <w:sz w:val="24"/>
          <w:szCs w:val="24"/>
          <w:highlight w:val="none"/>
        </w:rPr>
        <w:t>.5 工期延误</w:t>
      </w:r>
    </w:p>
    <w:bookmarkEnd w:id="137"/>
    <w:bookmarkEnd w:id="138"/>
    <w:bookmarkEnd w:id="139"/>
    <w:bookmarkEnd w:id="140"/>
    <w:bookmarkEnd w:id="141"/>
    <w:bookmarkEnd w:id="142"/>
    <w:bookmarkEnd w:id="143"/>
    <w:p w14:paraId="62A8EC66">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7.5.1 因发包人原因导致工期延误</w:t>
      </w:r>
    </w:p>
    <w:p w14:paraId="69020E3E">
      <w:pPr>
        <w:spacing w:line="360" w:lineRule="auto"/>
        <w:ind w:firstLine="420"/>
        <w:jc w:val="left"/>
        <w:outlineLvl w:val="9"/>
        <w:rPr>
          <w:rFonts w:hint="eastAsia" w:ascii="宋体" w:hAnsi="宋体" w:eastAsia="宋体" w:cs="宋体"/>
          <w:sz w:val="24"/>
          <w:szCs w:val="24"/>
        </w:rPr>
      </w:pPr>
      <w:r>
        <w:rPr>
          <w:rFonts w:hint="eastAsia" w:ascii="宋体" w:hAnsi="宋体" w:eastAsia="宋体" w:cs="宋体"/>
          <w:color w:val="auto"/>
          <w:sz w:val="24"/>
          <w:szCs w:val="24"/>
          <w:highlight w:val="none"/>
        </w:rPr>
        <w:t>（7）因发包人原因导致工期延误的其他形：</w:t>
      </w:r>
      <w:r>
        <w:rPr>
          <w:rFonts w:hint="eastAsia" w:ascii="宋体" w:hAnsi="宋体" w:eastAsia="宋体" w:cs="宋体"/>
          <w:color w:val="auto"/>
          <w:sz w:val="24"/>
          <w:szCs w:val="24"/>
          <w:highlight w:val="none"/>
          <w:lang w:val="en-US" w:eastAsia="zh-CN"/>
        </w:rPr>
        <w:t>1</w:t>
      </w:r>
      <w:r>
        <w:rPr>
          <w:rFonts w:hint="eastAsia" w:ascii="宋体" w:hAnsi="宋体" w:eastAsia="宋体" w:cs="宋体"/>
          <w:sz w:val="24"/>
          <w:szCs w:val="24"/>
          <w:u w:val="single"/>
        </w:rPr>
        <w:t>）重大设计变更而影响施工进度关键线路的；2）不可抗力。</w:t>
      </w:r>
    </w:p>
    <w:p w14:paraId="7CCE2160">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144" w:name="_Toc318581169"/>
      <w:bookmarkStart w:id="145" w:name="_Toc303539127"/>
      <w:bookmarkStart w:id="146" w:name="_Toc312677486"/>
      <w:bookmarkStart w:id="147" w:name="_Toc297123518"/>
      <w:bookmarkStart w:id="148" w:name="_Toc297216177"/>
      <w:bookmarkStart w:id="149" w:name="_Toc300934970"/>
      <w:bookmarkStart w:id="150" w:name="_Toc304295548"/>
      <w:bookmarkStart w:id="151" w:name="_Toc312678012"/>
      <w:r>
        <w:rPr>
          <w:rFonts w:hint="eastAsia" w:ascii="宋体" w:hAnsi="宋体" w:eastAsia="宋体" w:cs="宋体"/>
          <w:color w:val="auto"/>
          <w:sz w:val="24"/>
          <w:szCs w:val="24"/>
          <w:highlight w:val="none"/>
        </w:rPr>
        <w:t>.5.2 因承包人原因导致工期延误</w:t>
      </w:r>
    </w:p>
    <w:bookmarkEnd w:id="144"/>
    <w:bookmarkEnd w:id="145"/>
    <w:bookmarkEnd w:id="146"/>
    <w:bookmarkEnd w:id="147"/>
    <w:bookmarkEnd w:id="148"/>
    <w:bookmarkEnd w:id="149"/>
    <w:bookmarkEnd w:id="150"/>
    <w:bookmarkEnd w:id="151"/>
    <w:p w14:paraId="0D3E80BC">
      <w:pPr>
        <w:spacing w:line="360" w:lineRule="auto"/>
        <w:ind w:firstLine="420"/>
        <w:jc w:val="left"/>
        <w:outlineLvl w:val="9"/>
        <w:rPr>
          <w:rFonts w:hint="eastAsia" w:ascii="宋体" w:hAnsi="宋体" w:eastAsia="宋体" w:cs="宋体"/>
          <w:sz w:val="24"/>
          <w:szCs w:val="24"/>
        </w:rPr>
      </w:pPr>
      <w:r>
        <w:rPr>
          <w:rFonts w:hint="eastAsia" w:ascii="宋体" w:hAnsi="宋体" w:eastAsia="宋体" w:cs="宋体"/>
          <w:sz w:val="24"/>
          <w:szCs w:val="24"/>
        </w:rPr>
        <w:t>因承包</w:t>
      </w:r>
      <w:bookmarkStart w:id="152" w:name="_Toc312678013"/>
      <w:bookmarkStart w:id="153" w:name="_Toc312677487"/>
      <w:bookmarkStart w:id="154" w:name="_Toc318581170"/>
      <w:r>
        <w:rPr>
          <w:rFonts w:hint="eastAsia" w:ascii="宋体" w:hAnsi="宋体" w:eastAsia="宋体" w:cs="宋体"/>
          <w:sz w:val="24"/>
          <w:szCs w:val="24"/>
        </w:rPr>
        <w:t>人原因造成工期延误，逾期竣工违约金的计算方法为：</w:t>
      </w:r>
      <w:r>
        <w:rPr>
          <w:rFonts w:hint="eastAsia" w:ascii="宋体" w:hAnsi="宋体" w:eastAsia="宋体" w:cs="宋体"/>
          <w:sz w:val="24"/>
          <w:szCs w:val="24"/>
          <w:u w:val="single"/>
        </w:rPr>
        <w:t xml:space="preserve"> 5000元/天</w:t>
      </w:r>
      <w:bookmarkEnd w:id="152"/>
      <w:bookmarkEnd w:id="153"/>
      <w:r>
        <w:rPr>
          <w:rFonts w:hint="eastAsia" w:ascii="宋体" w:hAnsi="宋体" w:eastAsia="宋体" w:cs="宋体"/>
          <w:sz w:val="24"/>
          <w:szCs w:val="24"/>
          <w:u w:val="single"/>
        </w:rPr>
        <w:t>。</w:t>
      </w:r>
    </w:p>
    <w:p w14:paraId="08F95A66">
      <w:pPr>
        <w:spacing w:line="360" w:lineRule="auto"/>
        <w:ind w:firstLine="420"/>
        <w:jc w:val="left"/>
        <w:outlineLvl w:val="9"/>
        <w:rPr>
          <w:rFonts w:hint="eastAsia" w:ascii="宋体" w:hAnsi="宋体" w:eastAsia="宋体" w:cs="宋体"/>
          <w:sz w:val="24"/>
          <w:szCs w:val="24"/>
        </w:rPr>
      </w:pPr>
      <w:r>
        <w:rPr>
          <w:rFonts w:hint="eastAsia" w:ascii="宋体" w:hAnsi="宋体" w:eastAsia="宋体" w:cs="宋体"/>
          <w:sz w:val="24"/>
          <w:szCs w:val="24"/>
        </w:rPr>
        <w:t>因承</w:t>
      </w:r>
      <w:bookmarkEnd w:id="154"/>
      <w:r>
        <w:rPr>
          <w:rFonts w:hint="eastAsia" w:ascii="宋体" w:hAnsi="宋体" w:eastAsia="宋体" w:cs="宋体"/>
          <w:sz w:val="24"/>
          <w:szCs w:val="24"/>
        </w:rPr>
        <w:t>包人原因造成工期延误，逾期竣工违约金的上限：</w:t>
      </w:r>
      <w:r>
        <w:rPr>
          <w:rFonts w:hint="eastAsia" w:ascii="宋体" w:hAnsi="宋体" w:eastAsia="宋体" w:cs="宋体"/>
          <w:sz w:val="24"/>
          <w:szCs w:val="24"/>
          <w:u w:val="single"/>
        </w:rPr>
        <w:t xml:space="preserve"> 合同价的2% </w:t>
      </w:r>
      <w:r>
        <w:rPr>
          <w:rFonts w:hint="eastAsia" w:ascii="宋体" w:hAnsi="宋体" w:eastAsia="宋体" w:cs="宋体"/>
          <w:sz w:val="24"/>
          <w:szCs w:val="24"/>
        </w:rPr>
        <w:t>。</w:t>
      </w:r>
    </w:p>
    <w:p w14:paraId="165C48B4">
      <w:pPr>
        <w:spacing w:line="360" w:lineRule="auto"/>
        <w:ind w:firstLine="420"/>
        <w:jc w:val="left"/>
        <w:outlineLvl w:val="9"/>
        <w:rPr>
          <w:rFonts w:hint="eastAsia" w:ascii="宋体" w:hAnsi="宋体" w:eastAsia="宋体" w:cs="宋体"/>
          <w:sz w:val="24"/>
          <w:szCs w:val="24"/>
        </w:rPr>
      </w:pPr>
      <w:r>
        <w:rPr>
          <w:rFonts w:hint="eastAsia" w:ascii="宋体" w:hAnsi="宋体" w:eastAsia="宋体" w:cs="宋体"/>
          <w:sz w:val="24"/>
          <w:szCs w:val="24"/>
        </w:rPr>
        <w:t>因承包人原因造成月、周工程进度计划滞后时，承包人应承担</w:t>
      </w:r>
      <w:r>
        <w:rPr>
          <w:rFonts w:hint="eastAsia" w:ascii="宋体" w:hAnsi="宋体" w:eastAsia="宋体" w:cs="宋体"/>
          <w:sz w:val="24"/>
          <w:szCs w:val="24"/>
          <w:u w:val="single"/>
        </w:rPr>
        <w:t>1000-5000元/天</w:t>
      </w:r>
      <w:r>
        <w:rPr>
          <w:rFonts w:hint="eastAsia" w:ascii="宋体" w:hAnsi="宋体" w:eastAsia="宋体" w:cs="宋体"/>
          <w:sz w:val="24"/>
          <w:szCs w:val="24"/>
        </w:rPr>
        <w:t>的违约金。</w:t>
      </w:r>
    </w:p>
    <w:p w14:paraId="5226ECD0">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155" w:name="_Toc300934971"/>
      <w:bookmarkStart w:id="156" w:name="_Toc304295549"/>
      <w:bookmarkStart w:id="157" w:name="_Toc297216178"/>
      <w:bookmarkStart w:id="158" w:name="_Toc303539128"/>
      <w:bookmarkStart w:id="159" w:name="_Toc312678015"/>
      <w:bookmarkStart w:id="160" w:name="_Toc297123519"/>
      <w:r>
        <w:rPr>
          <w:rFonts w:hint="eastAsia" w:ascii="宋体" w:hAnsi="宋体" w:eastAsia="宋体" w:cs="宋体"/>
          <w:color w:val="auto"/>
          <w:sz w:val="24"/>
          <w:szCs w:val="24"/>
          <w:highlight w:val="none"/>
        </w:rPr>
        <w:t>.6 不</w:t>
      </w:r>
      <w:bookmarkEnd w:id="155"/>
      <w:bookmarkEnd w:id="156"/>
      <w:bookmarkEnd w:id="157"/>
      <w:bookmarkEnd w:id="158"/>
      <w:bookmarkEnd w:id="159"/>
      <w:bookmarkEnd w:id="160"/>
      <w:r>
        <w:rPr>
          <w:rFonts w:hint="eastAsia" w:ascii="宋体" w:hAnsi="宋体" w:eastAsia="宋体" w:cs="宋体"/>
          <w:color w:val="auto"/>
          <w:sz w:val="24"/>
          <w:szCs w:val="24"/>
          <w:highlight w:val="none"/>
        </w:rPr>
        <w:t>利物质条件</w:t>
      </w:r>
      <w:bookmarkStart w:id="161" w:name="_Toc312678016"/>
      <w:bookmarkStart w:id="162" w:name="_Toc300934972"/>
      <w:bookmarkStart w:id="163" w:name="_Toc297216179"/>
      <w:bookmarkStart w:id="164" w:name="_Toc303539129"/>
      <w:bookmarkStart w:id="165" w:name="_Toc297123520"/>
      <w:bookmarkStart w:id="166" w:name="_Toc304295550"/>
      <w:bookmarkStart w:id="167" w:name="_Toc318581172"/>
    </w:p>
    <w:p w14:paraId="27CA7B5F">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不利物质条件的其他情形和有关约定：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161"/>
    <w:bookmarkEnd w:id="162"/>
    <w:bookmarkEnd w:id="163"/>
    <w:bookmarkEnd w:id="164"/>
    <w:bookmarkEnd w:id="165"/>
    <w:bookmarkEnd w:id="166"/>
    <w:bookmarkEnd w:id="167"/>
    <w:p w14:paraId="2D07D9CA">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168" w:name="_Toc297216180"/>
      <w:bookmarkStart w:id="169" w:name="_Toc297123521"/>
      <w:bookmarkStart w:id="170" w:name="_Toc312678017"/>
      <w:bookmarkStart w:id="171" w:name="_Toc303539130"/>
      <w:bookmarkStart w:id="172" w:name="_Toc300934973"/>
      <w:bookmarkStart w:id="173" w:name="_Toc304295551"/>
      <w:r>
        <w:rPr>
          <w:rFonts w:hint="eastAsia" w:ascii="宋体" w:hAnsi="宋体" w:eastAsia="宋体" w:cs="宋体"/>
          <w:color w:val="auto"/>
          <w:sz w:val="24"/>
          <w:szCs w:val="24"/>
          <w:highlight w:val="none"/>
        </w:rPr>
        <w:t>.7异常恶劣的气候条件</w:t>
      </w:r>
    </w:p>
    <w:bookmarkEnd w:id="168"/>
    <w:bookmarkEnd w:id="169"/>
    <w:bookmarkEnd w:id="170"/>
    <w:bookmarkEnd w:id="171"/>
    <w:bookmarkEnd w:id="172"/>
    <w:bookmarkEnd w:id="173"/>
    <w:p w14:paraId="50FE45A3">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发包人和承包人同意以下情形视为异常恶劣的气候条件：</w:t>
      </w:r>
    </w:p>
    <w:p w14:paraId="20B19C07">
      <w:pPr>
        <w:spacing w:line="360" w:lineRule="auto"/>
        <w:ind w:firstLine="420"/>
        <w:jc w:val="left"/>
        <w:outlineLvl w:val="9"/>
        <w:rPr>
          <w:rFonts w:hint="eastAsia" w:ascii="宋体" w:hAnsi="宋体" w:eastAsia="宋体" w:cs="宋体"/>
          <w:sz w:val="24"/>
          <w:szCs w:val="24"/>
        </w:rPr>
      </w:pPr>
      <w:bookmarkStart w:id="174" w:name="_Toc508703898"/>
      <w:bookmarkStart w:id="175" w:name="_Toc510449976"/>
      <w:bookmarkStart w:id="176" w:name="_Toc7832"/>
      <w:bookmarkStart w:id="177" w:name="_Toc508702740"/>
      <w:bookmarkStart w:id="178" w:name="_Toc13423"/>
      <w:bookmarkStart w:id="179" w:name="_Toc18360"/>
      <w:r>
        <w:rPr>
          <w:rFonts w:hint="eastAsia" w:ascii="宋体" w:hAnsi="宋体" w:eastAsia="宋体" w:cs="宋体"/>
          <w:sz w:val="24"/>
          <w:szCs w:val="24"/>
        </w:rPr>
        <w:t>（1）</w:t>
      </w:r>
      <w:r>
        <w:rPr>
          <w:rFonts w:hint="eastAsia" w:ascii="宋体" w:hAnsi="宋体" w:eastAsia="宋体" w:cs="宋体"/>
          <w:sz w:val="24"/>
          <w:szCs w:val="24"/>
          <w:u w:val="single"/>
        </w:rPr>
        <w:t xml:space="preserve">7级以上大风 </w:t>
      </w:r>
      <w:r>
        <w:rPr>
          <w:rFonts w:hint="eastAsia" w:ascii="宋体" w:hAnsi="宋体" w:eastAsia="宋体" w:cs="宋体"/>
          <w:sz w:val="24"/>
          <w:szCs w:val="24"/>
        </w:rPr>
        <w:t>。</w:t>
      </w:r>
    </w:p>
    <w:p w14:paraId="7AC67BEC">
      <w:pPr>
        <w:spacing w:line="360" w:lineRule="auto"/>
        <w:ind w:firstLine="420"/>
        <w:jc w:val="left"/>
        <w:outlineLvl w:val="9"/>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u w:val="single"/>
        </w:rPr>
        <w:t xml:space="preserve">3小时内降雨量将达50毫米以上，或者已达50毫米以上且降雨可能持续 </w:t>
      </w:r>
      <w:r>
        <w:rPr>
          <w:rFonts w:hint="eastAsia" w:ascii="宋体" w:hAnsi="宋体" w:eastAsia="宋体" w:cs="宋体"/>
          <w:sz w:val="24"/>
          <w:szCs w:val="24"/>
        </w:rPr>
        <w:t>。</w:t>
      </w:r>
    </w:p>
    <w:p w14:paraId="5ED34103">
      <w:pPr>
        <w:spacing w:line="360" w:lineRule="auto"/>
        <w:ind w:firstLine="420"/>
        <w:jc w:val="left"/>
        <w:outlineLvl w:val="9"/>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u w:val="single"/>
        </w:rPr>
        <w:t xml:space="preserve">雾霾红色预警。 </w:t>
      </w:r>
    </w:p>
    <w:p w14:paraId="43F952DB">
      <w:pPr>
        <w:spacing w:line="360" w:lineRule="auto"/>
        <w:ind w:firstLine="420"/>
        <w:jc w:val="left"/>
        <w:outlineLvl w:val="9"/>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u w:val="single"/>
        </w:rPr>
        <w:t xml:space="preserve">40度以上高温天气。 </w:t>
      </w:r>
    </w:p>
    <w:p w14:paraId="234F4C4D">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提前竣工的奖励</w:t>
      </w:r>
      <w:bookmarkEnd w:id="174"/>
      <w:bookmarkEnd w:id="175"/>
      <w:bookmarkEnd w:id="176"/>
      <w:bookmarkEnd w:id="177"/>
      <w:bookmarkEnd w:id="178"/>
      <w:bookmarkEnd w:id="179"/>
    </w:p>
    <w:p w14:paraId="72C3635F">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.2提前竣工的励：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F9B4C98">
      <w:pPr>
        <w:numPr>
          <w:ilvl w:val="3"/>
          <w:numId w:val="1"/>
        </w:numPr>
        <w:spacing w:before="0" w:after="0" w:line="360" w:lineRule="auto"/>
        <w:outlineLvl w:val="9"/>
        <w:rPr>
          <w:rFonts w:hint="eastAsia" w:ascii="宋体" w:hAnsi="宋体" w:eastAsia="宋体" w:cs="宋体"/>
          <w:b w:val="0"/>
          <w:color w:val="auto"/>
          <w:sz w:val="24"/>
          <w:szCs w:val="24"/>
          <w:highlight w:val="none"/>
        </w:rPr>
      </w:pPr>
      <w:bookmarkStart w:id="180" w:name="_Toc351203640"/>
      <w:r>
        <w:rPr>
          <w:rFonts w:hint="eastAsia" w:ascii="宋体" w:hAnsi="宋体" w:eastAsia="宋体" w:cs="宋体"/>
          <w:b w:val="0"/>
          <w:color w:val="auto"/>
          <w:sz w:val="24"/>
          <w:szCs w:val="24"/>
          <w:highlight w:val="none"/>
        </w:rPr>
        <w:t>8. 材料与设备</w:t>
      </w:r>
      <w:bookmarkEnd w:id="180"/>
    </w:p>
    <w:bookmarkEnd w:id="118"/>
    <w:bookmarkEnd w:id="119"/>
    <w:bookmarkEnd w:id="120"/>
    <w:bookmarkEnd w:id="121"/>
    <w:bookmarkEnd w:id="122"/>
    <w:bookmarkEnd w:id="123"/>
    <w:bookmarkEnd w:id="124"/>
    <w:bookmarkEnd w:id="125"/>
    <w:bookmarkEnd w:id="126"/>
    <w:bookmarkEnd w:id="127"/>
    <w:p w14:paraId="1CEFDE3E">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181" w:name="_Toc296346668"/>
      <w:bookmarkStart w:id="182" w:name="_Toc296891207"/>
      <w:bookmarkStart w:id="183" w:name="_Toc297048353"/>
      <w:bookmarkStart w:id="184" w:name="_Toc297120467"/>
      <w:bookmarkStart w:id="185" w:name="_Toc300934979"/>
      <w:bookmarkStart w:id="186" w:name="_Toc304295556"/>
      <w:bookmarkStart w:id="187" w:name="_Toc292559877"/>
      <w:bookmarkStart w:id="188" w:name="_Toc296503167"/>
      <w:bookmarkStart w:id="189" w:name="_Toc296944506"/>
      <w:bookmarkStart w:id="190" w:name="_Toc280868654"/>
      <w:bookmarkStart w:id="191" w:name="_Toc297123527"/>
      <w:bookmarkStart w:id="192" w:name="_Toc303539136"/>
      <w:bookmarkStart w:id="193" w:name="_Toc297216186"/>
      <w:bookmarkStart w:id="194" w:name="_Toc296890995"/>
      <w:bookmarkStart w:id="195" w:name="_Toc296347166"/>
      <w:bookmarkStart w:id="196" w:name="_Toc292559372"/>
      <w:bookmarkStart w:id="197" w:name="_Toc312677493"/>
      <w:bookmarkStart w:id="198" w:name="_Toc312678019"/>
      <w:bookmarkStart w:id="199" w:name="_Toc267251424"/>
      <w:bookmarkStart w:id="200" w:name="_Toc280868656"/>
      <w:bookmarkStart w:id="201" w:name="_Toc280868655"/>
      <w:r>
        <w:rPr>
          <w:rFonts w:hint="eastAsia" w:ascii="宋体" w:hAnsi="宋体" w:eastAsia="宋体" w:cs="宋体"/>
          <w:color w:val="auto"/>
          <w:sz w:val="24"/>
          <w:szCs w:val="24"/>
          <w:highlight w:val="none"/>
        </w:rPr>
        <w:t>.4材料与工程设备的保管与使用</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14:paraId="0DEE0C39">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202" w:name="_Toc292559373"/>
      <w:bookmarkStart w:id="203" w:name="_Toc292559878"/>
      <w:bookmarkStart w:id="204" w:name="_Toc296890996"/>
      <w:bookmarkStart w:id="205" w:name="_Toc296347167"/>
      <w:bookmarkStart w:id="206" w:name="_Toc296891208"/>
      <w:bookmarkStart w:id="207" w:name="_Toc303539137"/>
      <w:bookmarkStart w:id="208" w:name="_Toc304295557"/>
      <w:bookmarkStart w:id="209" w:name="_Toc296346669"/>
      <w:bookmarkStart w:id="210" w:name="_Toc296944507"/>
      <w:bookmarkStart w:id="211" w:name="_Toc297120468"/>
      <w:bookmarkStart w:id="212" w:name="_Toc296503168"/>
      <w:bookmarkStart w:id="213" w:name="_Toc312677494"/>
      <w:bookmarkStart w:id="214" w:name="_Toc297123528"/>
      <w:bookmarkStart w:id="215" w:name="_Toc297048354"/>
      <w:bookmarkStart w:id="216" w:name="_Toc300934980"/>
      <w:bookmarkStart w:id="217" w:name="_Toc297216187"/>
      <w:bookmarkStart w:id="218" w:name="_Toc318581173"/>
      <w:bookmarkStart w:id="219" w:name="_Toc312678020"/>
      <w:r>
        <w:rPr>
          <w:rFonts w:hint="eastAsia" w:ascii="宋体" w:hAnsi="宋体" w:eastAsia="宋体" w:cs="宋体"/>
          <w:color w:val="auto"/>
          <w:sz w:val="24"/>
          <w:szCs w:val="24"/>
          <w:highlight w:val="none"/>
        </w:rPr>
        <w:t>.4.1发包人供应的材料设备的保管费用的承担：</w:t>
      </w:r>
      <w:r>
        <w:rPr>
          <w:rFonts w:hint="eastAsia" w:ascii="宋体" w:hAnsi="宋体" w:eastAsia="宋体" w:cs="宋体"/>
          <w:color w:val="auto"/>
          <w:sz w:val="24"/>
          <w:szCs w:val="24"/>
          <w:highlight w:val="none"/>
          <w:u w:val="single"/>
        </w:rPr>
        <w:t>执行通用合同条款</w:t>
      </w:r>
      <w:r>
        <w:rPr>
          <w:rFonts w:hint="eastAsia" w:ascii="宋体" w:hAnsi="宋体" w:eastAsia="宋体" w:cs="宋体"/>
          <w:color w:val="auto"/>
          <w:sz w:val="24"/>
          <w:szCs w:val="24"/>
          <w:highlight w:val="none"/>
        </w:rPr>
        <w:t>。</w:t>
      </w:r>
      <w:bookmarkEnd w:id="202"/>
      <w:bookmarkEnd w:id="203"/>
    </w:p>
    <w:p w14:paraId="18698061">
      <w:pPr>
        <w:spacing w:line="360" w:lineRule="auto"/>
        <w:ind w:firstLine="480" w:firstLineChars="200"/>
        <w:outlineLvl w:val="9"/>
        <w:rPr>
          <w:rFonts w:hint="eastAsia" w:ascii="宋体" w:hAnsi="宋体" w:eastAsia="宋体" w:cs="宋体"/>
          <w:color w:val="auto"/>
          <w:sz w:val="24"/>
          <w:szCs w:val="24"/>
          <w:highlight w:val="none"/>
        </w:rPr>
      </w:pPr>
      <w:bookmarkStart w:id="220" w:name="_Toc510449977"/>
      <w:bookmarkStart w:id="221" w:name="_Toc508702741"/>
      <w:bookmarkStart w:id="222" w:name="_Toc25255"/>
      <w:bookmarkStart w:id="223" w:name="_Toc20549"/>
      <w:bookmarkStart w:id="224" w:name="_Toc20769"/>
      <w:bookmarkStart w:id="225" w:name="_Toc508703899"/>
      <w:r>
        <w:rPr>
          <w:rFonts w:hint="eastAsia" w:ascii="宋体" w:hAnsi="宋体" w:eastAsia="宋体" w:cs="宋体"/>
          <w:color w:val="auto"/>
          <w:sz w:val="24"/>
          <w:szCs w:val="24"/>
          <w:highlight w:val="none"/>
        </w:rPr>
        <w:t>8.8 施工设备和临时设施</w:t>
      </w:r>
      <w:bookmarkEnd w:id="220"/>
      <w:bookmarkEnd w:id="221"/>
      <w:bookmarkEnd w:id="222"/>
      <w:bookmarkEnd w:id="223"/>
      <w:bookmarkEnd w:id="224"/>
      <w:bookmarkEnd w:id="225"/>
    </w:p>
    <w:p w14:paraId="6106809E">
      <w:pPr>
        <w:autoSpaceDE w:val="0"/>
        <w:autoSpaceDN w:val="0"/>
        <w:adjustRightInd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8.8.1 承包人提供的施工设备和临时设施</w:t>
      </w:r>
    </w:p>
    <w:p w14:paraId="11B9CD6D">
      <w:pPr>
        <w:autoSpaceDE w:val="0"/>
        <w:autoSpaceDN w:val="0"/>
        <w:adjustRightInd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关于修建临时设施费用承担的约定：</w:t>
      </w:r>
      <w:r>
        <w:rPr>
          <w:rFonts w:hint="eastAsia" w:ascii="宋体" w:hAnsi="宋体" w:eastAsia="宋体" w:cs="宋体"/>
          <w:sz w:val="24"/>
          <w:szCs w:val="24"/>
          <w:u w:val="single"/>
        </w:rPr>
        <w:t>承包人自主承担</w:t>
      </w:r>
      <w:r>
        <w:rPr>
          <w:rFonts w:hint="eastAsia" w:ascii="宋体" w:hAnsi="宋体" w:eastAsia="宋体" w:cs="宋体"/>
          <w:color w:val="auto"/>
          <w:sz w:val="24"/>
          <w:szCs w:val="24"/>
          <w:highlight w:val="none"/>
        </w:rPr>
        <w:t>。</w:t>
      </w:r>
    </w:p>
    <w:bookmarkEnd w:id="199"/>
    <w:bookmarkEnd w:id="200"/>
    <w:bookmarkEnd w:id="201"/>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14:paraId="56CE0D47">
      <w:pPr>
        <w:numPr>
          <w:ilvl w:val="3"/>
          <w:numId w:val="1"/>
        </w:numPr>
        <w:spacing w:before="0" w:after="0" w:line="360" w:lineRule="auto"/>
        <w:outlineLvl w:val="9"/>
        <w:rPr>
          <w:rFonts w:hint="eastAsia" w:ascii="宋体" w:hAnsi="宋体" w:eastAsia="宋体" w:cs="宋体"/>
          <w:b w:val="0"/>
          <w:color w:val="auto"/>
          <w:sz w:val="24"/>
          <w:szCs w:val="24"/>
          <w:highlight w:val="none"/>
        </w:rPr>
      </w:pPr>
      <w:bookmarkStart w:id="226" w:name="_Toc296347172"/>
      <w:bookmarkStart w:id="227" w:name="_Toc292559378"/>
      <w:bookmarkStart w:id="228" w:name="_Toc296944512"/>
      <w:bookmarkStart w:id="229" w:name="_Toc297048359"/>
      <w:bookmarkStart w:id="230" w:name="_Toc267251427"/>
      <w:bookmarkStart w:id="231" w:name="_Toc267251428"/>
      <w:bookmarkStart w:id="232" w:name="_Toc292559883"/>
      <w:bookmarkStart w:id="233" w:name="_Toc296891001"/>
      <w:bookmarkStart w:id="234" w:name="_Toc297120473"/>
      <w:bookmarkStart w:id="235" w:name="_Toc296503173"/>
      <w:bookmarkStart w:id="236" w:name="_Toc296346674"/>
      <w:bookmarkStart w:id="237" w:name="_Toc296891213"/>
      <w:bookmarkStart w:id="238" w:name="_Toc351203642"/>
      <w:r>
        <w:rPr>
          <w:rFonts w:hint="eastAsia" w:ascii="宋体" w:hAnsi="宋体" w:eastAsia="宋体" w:cs="宋体"/>
          <w:b w:val="0"/>
          <w:color w:val="auto"/>
          <w:sz w:val="24"/>
          <w:szCs w:val="24"/>
          <w:highlight w:val="none"/>
        </w:rPr>
        <w:t>1</w:t>
      </w:r>
      <w:bookmarkEnd w:id="226"/>
      <w:bookmarkEnd w:id="227"/>
      <w:bookmarkEnd w:id="228"/>
      <w:bookmarkEnd w:id="229"/>
      <w:bookmarkEnd w:id="230"/>
      <w:bookmarkEnd w:id="231"/>
      <w:bookmarkEnd w:id="232"/>
      <w:bookmarkEnd w:id="233"/>
      <w:bookmarkEnd w:id="234"/>
      <w:bookmarkEnd w:id="235"/>
      <w:bookmarkEnd w:id="236"/>
      <w:bookmarkEnd w:id="237"/>
      <w:bookmarkStart w:id="239" w:name="_Toc296944532"/>
      <w:bookmarkStart w:id="240" w:name="_Toc296891233"/>
      <w:bookmarkStart w:id="241" w:name="_Toc296891021"/>
      <w:bookmarkStart w:id="242" w:name="_Toc303539146"/>
      <w:bookmarkStart w:id="243" w:name="_Toc292559398"/>
      <w:bookmarkStart w:id="244" w:name="_Toc296347192"/>
      <w:bookmarkStart w:id="245" w:name="_Toc300934989"/>
      <w:bookmarkStart w:id="246" w:name="_Toc292559903"/>
      <w:bookmarkStart w:id="247" w:name="_Toc297216199"/>
      <w:bookmarkStart w:id="248" w:name="_Toc297120493"/>
      <w:bookmarkStart w:id="249" w:name="_Toc296503193"/>
      <w:bookmarkStart w:id="250" w:name="_Toc297048379"/>
      <w:bookmarkStart w:id="251" w:name="_Toc297123540"/>
      <w:bookmarkStart w:id="252" w:name="_Toc304295566"/>
      <w:bookmarkStart w:id="253" w:name="_Toc296346694"/>
      <w:bookmarkStart w:id="254" w:name="_Toc312677499"/>
      <w:bookmarkStart w:id="255" w:name="_Toc312678025"/>
      <w:bookmarkStart w:id="256" w:name="_Toc267251441"/>
      <w:bookmarkStart w:id="257" w:name="_Toc267251439"/>
      <w:bookmarkStart w:id="258" w:name="_Toc267251437"/>
      <w:bookmarkStart w:id="259" w:name="_Toc267251435"/>
      <w:bookmarkStart w:id="260" w:name="_Toc267251440"/>
      <w:bookmarkStart w:id="261" w:name="_Toc267251433"/>
      <w:bookmarkStart w:id="262" w:name="_Toc267251442"/>
      <w:r>
        <w:rPr>
          <w:rFonts w:hint="eastAsia" w:ascii="宋体" w:hAnsi="宋体" w:eastAsia="宋体" w:cs="宋体"/>
          <w:b w:val="0"/>
          <w:color w:val="auto"/>
          <w:sz w:val="24"/>
          <w:szCs w:val="24"/>
          <w:highlight w:val="none"/>
        </w:rPr>
        <w:t>0. 变更</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bookmarkEnd w:id="254"/>
    <w:bookmarkEnd w:id="255"/>
    <w:p w14:paraId="70053887">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263" w:name="_Toc297048380"/>
      <w:bookmarkStart w:id="264" w:name="_Toc296944533"/>
      <w:bookmarkStart w:id="265" w:name="_Toc304295567"/>
      <w:bookmarkStart w:id="266" w:name="_Toc296891234"/>
      <w:bookmarkStart w:id="267" w:name="_Toc296346695"/>
      <w:bookmarkStart w:id="268" w:name="_Toc297216200"/>
      <w:bookmarkStart w:id="269" w:name="_Toc292559399"/>
      <w:bookmarkStart w:id="270" w:name="_Toc292559904"/>
      <w:bookmarkStart w:id="271" w:name="_Toc303539147"/>
      <w:bookmarkStart w:id="272" w:name="_Toc296503194"/>
      <w:bookmarkStart w:id="273" w:name="_Toc312678026"/>
      <w:bookmarkStart w:id="274" w:name="_Toc297123541"/>
      <w:bookmarkStart w:id="275" w:name="_Toc312677500"/>
      <w:bookmarkStart w:id="276" w:name="_Toc297120494"/>
      <w:bookmarkStart w:id="277" w:name="_Toc300934990"/>
      <w:bookmarkStart w:id="278" w:name="_Toc296891022"/>
      <w:bookmarkStart w:id="279" w:name="_Toc296347193"/>
      <w:r>
        <w:rPr>
          <w:rFonts w:hint="eastAsia" w:ascii="宋体" w:hAnsi="宋体" w:eastAsia="宋体" w:cs="宋体"/>
          <w:color w:val="auto"/>
          <w:sz w:val="24"/>
          <w:szCs w:val="24"/>
          <w:highlight w:val="none"/>
        </w:rPr>
        <w:t>0.1变更的范围</w:t>
      </w:r>
    </w:p>
    <w:p w14:paraId="4C1114AA">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关于变更的范围的约定：</w:t>
      </w:r>
      <w:r>
        <w:rPr>
          <w:rFonts w:hint="eastAsia" w:ascii="宋体" w:hAnsi="宋体" w:eastAsia="宋体" w:cs="宋体"/>
          <w:color w:val="auto"/>
          <w:sz w:val="24"/>
          <w:szCs w:val="24"/>
          <w:highlight w:val="none"/>
          <w:u w:val="single"/>
        </w:rPr>
        <w:t>承包人在施工中提出的合理化建议涉及到对设计图纸或施工组织设计的更改及对材料、设备的换用，须经监理工程师审核后，报发包人批准后以设计变更单的形式通知承包人实施，否则不作为工程设计变更对待。任何变更的提出都应当依据合同或国家有关规范和标准提出。任何变更都必须取得发包人和监理的确认，变更程序按照集团及控股公司具体规定执行。</w:t>
      </w:r>
    </w:p>
    <w:p w14:paraId="668E6974">
      <w:pPr>
        <w:spacing w:line="360" w:lineRule="auto"/>
        <w:ind w:firstLine="480" w:firstLineChars="200"/>
        <w:outlineLvl w:val="9"/>
        <w:rPr>
          <w:rFonts w:hint="eastAsia" w:ascii="宋体" w:hAnsi="宋体" w:eastAsia="宋体" w:cs="宋体"/>
          <w:color w:val="auto"/>
          <w:sz w:val="24"/>
          <w:szCs w:val="24"/>
          <w:highlight w:val="none"/>
        </w:rPr>
      </w:pPr>
      <w:bookmarkStart w:id="280" w:name="_Toc16961"/>
      <w:bookmarkStart w:id="281" w:name="_Toc510449978"/>
      <w:bookmarkStart w:id="282" w:name="_Toc1464"/>
      <w:bookmarkStart w:id="283" w:name="_Toc23065"/>
      <w:bookmarkStart w:id="284" w:name="_Toc508702742"/>
      <w:bookmarkStart w:id="285" w:name="_Toc508703900"/>
      <w:r>
        <w:rPr>
          <w:rFonts w:hint="eastAsia" w:ascii="宋体" w:hAnsi="宋体" w:eastAsia="宋体" w:cs="宋体"/>
          <w:color w:val="auto"/>
          <w:sz w:val="24"/>
          <w:szCs w:val="24"/>
          <w:highlight w:val="none"/>
        </w:rPr>
        <w:t>10.4 变更估价</w:t>
      </w:r>
      <w:bookmarkEnd w:id="280"/>
      <w:bookmarkEnd w:id="281"/>
      <w:bookmarkEnd w:id="282"/>
      <w:bookmarkEnd w:id="283"/>
      <w:bookmarkEnd w:id="284"/>
      <w:bookmarkEnd w:id="285"/>
    </w:p>
    <w:p w14:paraId="312D6EAB">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10.4.1 变更估价原则</w:t>
      </w:r>
    </w:p>
    <w:p w14:paraId="6AA5E14F">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关于变更估价的约定: </w:t>
      </w:r>
      <w:r>
        <w:rPr>
          <w:rFonts w:hint="eastAsia" w:ascii="宋体" w:hAnsi="宋体" w:eastAsia="宋体" w:cs="宋体"/>
          <w:color w:val="auto"/>
          <w:sz w:val="24"/>
          <w:szCs w:val="24"/>
          <w:highlight w:val="none"/>
          <w:u w:val="single"/>
        </w:rPr>
        <w:t>执行通用合同条款</w:t>
      </w:r>
      <w:r>
        <w:rPr>
          <w:rFonts w:hint="eastAsia" w:ascii="宋体" w:hAnsi="宋体" w:eastAsia="宋体" w:cs="宋体"/>
          <w:color w:val="auto"/>
          <w:sz w:val="24"/>
          <w:szCs w:val="24"/>
          <w:highlight w:val="none"/>
        </w:rPr>
        <w:t>。</w:t>
      </w:r>
    </w:p>
    <w:p w14:paraId="78429E45">
      <w:pPr>
        <w:spacing w:line="360" w:lineRule="auto"/>
        <w:ind w:firstLine="482" w:firstLineChars="200"/>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本条通用条款内容：</w:t>
      </w:r>
    </w:p>
    <w:p w14:paraId="52E312E2">
      <w:pPr>
        <w:autoSpaceDE w:val="0"/>
        <w:autoSpaceDN w:val="0"/>
        <w:adjustRightInd w:val="0"/>
        <w:spacing w:line="360" w:lineRule="auto"/>
        <w:ind w:firstLine="480" w:firstLineChars="200"/>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除专用合同条款另有约定外，变更估价按照本款约定处理：</w:t>
      </w:r>
    </w:p>
    <w:p w14:paraId="63DF1FB6">
      <w:pPr>
        <w:autoSpaceDE w:val="0"/>
        <w:autoSpaceDN w:val="0"/>
        <w:adjustRightInd w:val="0"/>
        <w:spacing w:line="360" w:lineRule="auto"/>
        <w:ind w:firstLine="480" w:firstLineChars="200"/>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（1）已标价工程量清单或预算书有相同项目的，按照相同项目单价认定；</w:t>
      </w:r>
    </w:p>
    <w:p w14:paraId="466FF843">
      <w:pPr>
        <w:autoSpaceDE w:val="0"/>
        <w:autoSpaceDN w:val="0"/>
        <w:adjustRightInd w:val="0"/>
        <w:spacing w:line="360" w:lineRule="auto"/>
        <w:ind w:firstLine="480" w:firstLineChars="200"/>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（2）已标价工程量清单或预算书中无相同项目，但有类似项目的，参照类似项目的单价认定；</w:t>
      </w:r>
    </w:p>
    <w:p w14:paraId="7B2DCA32">
      <w:pPr>
        <w:autoSpaceDE w:val="0"/>
        <w:autoSpaceDN w:val="0"/>
        <w:adjustRightInd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60931459">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Start w:id="286" w:name="_Toc303539150"/>
      <w:bookmarkStart w:id="287" w:name="_Toc297123544"/>
      <w:bookmarkStart w:id="288" w:name="_Toc296891237"/>
      <w:bookmarkStart w:id="289" w:name="_Toc296503197"/>
      <w:bookmarkStart w:id="290" w:name="_Toc300934993"/>
      <w:bookmarkStart w:id="291" w:name="_Toc296891025"/>
      <w:bookmarkStart w:id="292" w:name="_Toc297216203"/>
      <w:bookmarkStart w:id="293" w:name="_Toc292559402"/>
      <w:bookmarkStart w:id="294" w:name="_Toc297048383"/>
      <w:bookmarkStart w:id="295" w:name="_Toc297120497"/>
      <w:bookmarkStart w:id="296" w:name="_Toc296347196"/>
      <w:bookmarkStart w:id="297" w:name="_Toc296944536"/>
      <w:bookmarkStart w:id="298" w:name="_Toc296346698"/>
      <w:bookmarkStart w:id="299" w:name="_Toc292559907"/>
      <w:bookmarkStart w:id="300" w:name="_Toc312678029"/>
      <w:bookmarkStart w:id="301" w:name="_Toc312677503"/>
      <w:bookmarkStart w:id="302" w:name="_Toc304295570"/>
      <w:r>
        <w:rPr>
          <w:rFonts w:hint="eastAsia" w:ascii="宋体" w:hAnsi="宋体" w:eastAsia="宋体" w:cs="宋体"/>
          <w:color w:val="auto"/>
          <w:sz w:val="24"/>
          <w:szCs w:val="24"/>
          <w:highlight w:val="none"/>
        </w:rPr>
        <w:t>0.5承</w:t>
      </w:r>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Start w:id="303" w:name="_Toc303539151"/>
      <w:bookmarkStart w:id="304" w:name="_Toc292559913"/>
      <w:bookmarkStart w:id="305" w:name="_Toc297216204"/>
      <w:bookmarkStart w:id="306" w:name="_Toc300934994"/>
      <w:bookmarkStart w:id="307" w:name="_Toc297123545"/>
      <w:bookmarkStart w:id="308" w:name="_Toc292559408"/>
      <w:bookmarkStart w:id="309" w:name="_Toc296347202"/>
      <w:bookmarkStart w:id="310" w:name="_Toc297120503"/>
      <w:bookmarkStart w:id="311" w:name="_Toc296944542"/>
      <w:bookmarkStart w:id="312" w:name="_Toc296891243"/>
      <w:bookmarkStart w:id="313" w:name="_Toc296346704"/>
      <w:bookmarkStart w:id="314" w:name="_Toc297048389"/>
      <w:bookmarkStart w:id="315" w:name="_Toc296503203"/>
      <w:bookmarkStart w:id="316" w:name="_Toc296891031"/>
      <w:r>
        <w:rPr>
          <w:rFonts w:hint="eastAsia" w:ascii="宋体" w:hAnsi="宋体" w:eastAsia="宋体" w:cs="宋体"/>
          <w:color w:val="auto"/>
          <w:sz w:val="24"/>
          <w:szCs w:val="24"/>
          <w:highlight w:val="none"/>
        </w:rPr>
        <w:t>包人的合理化建议</w:t>
      </w:r>
    </w:p>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14:paraId="7B6C5016">
      <w:pPr>
        <w:spacing w:line="360" w:lineRule="auto"/>
        <w:ind w:firstLine="480" w:firstLineChars="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w:t>
      </w:r>
      <w:bookmarkStart w:id="317" w:name="_Toc296503204"/>
      <w:bookmarkStart w:id="318" w:name="_Toc297216205"/>
      <w:bookmarkStart w:id="319" w:name="_Toc312677504"/>
      <w:bookmarkStart w:id="320" w:name="_Toc296891244"/>
      <w:bookmarkStart w:id="321" w:name="_Toc296944543"/>
      <w:bookmarkStart w:id="322" w:name="_Toc300934995"/>
      <w:bookmarkStart w:id="323" w:name="_Toc297048390"/>
      <w:bookmarkStart w:id="324" w:name="_Toc296347203"/>
      <w:bookmarkStart w:id="325" w:name="_Toc297123546"/>
      <w:bookmarkStart w:id="326" w:name="_Toc297120504"/>
      <w:bookmarkStart w:id="327" w:name="_Toc296891032"/>
      <w:bookmarkStart w:id="328" w:name="_Toc296346705"/>
      <w:bookmarkStart w:id="329" w:name="_Toc318581175"/>
      <w:bookmarkStart w:id="330" w:name="_Toc292559409"/>
      <w:bookmarkStart w:id="331" w:name="_Toc304295571"/>
      <w:bookmarkStart w:id="332" w:name="_Toc312678030"/>
      <w:bookmarkStart w:id="333" w:name="_Toc303539152"/>
      <w:bookmarkStart w:id="334" w:name="_Toc292559914"/>
      <w:r>
        <w:rPr>
          <w:rFonts w:hint="eastAsia" w:ascii="宋体" w:hAnsi="宋体" w:eastAsia="宋体" w:cs="宋体"/>
          <w:color w:val="auto"/>
          <w:sz w:val="24"/>
          <w:szCs w:val="24"/>
          <w:highlight w:val="none"/>
        </w:rPr>
        <w:t>包人提出的合理化建议降低了合同价格或者提高了工程经济效益的奖励的方法和金额为：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14:paraId="5DC5622E">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暂列金额</w:t>
      </w:r>
    </w:p>
    <w:p w14:paraId="6E62BCA2">
      <w:pPr>
        <w:autoSpaceDE w:val="0"/>
        <w:autoSpaceDN w:val="0"/>
        <w:adjustRightInd w:val="0"/>
        <w:spacing w:line="360" w:lineRule="auto"/>
        <w:ind w:firstLine="480" w:firstLineChars="200"/>
        <w:outlineLvl w:val="9"/>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合同当事人关于暂列金额使用的约定：</w:t>
      </w:r>
      <w:r>
        <w:rPr>
          <w:rFonts w:hint="eastAsia" w:ascii="宋体" w:hAnsi="宋体" w:cs="宋体"/>
          <w:i w:val="0"/>
          <w:iCs w:val="0"/>
          <w:color w:val="auto"/>
          <w:kern w:val="0"/>
          <w:sz w:val="24"/>
          <w:szCs w:val="24"/>
          <w:highlight w:val="none"/>
          <w:u w:val="single"/>
          <w:lang w:val="en-US" w:eastAsia="zh-CN"/>
        </w:rPr>
        <w:t xml:space="preserve"> / </w:t>
      </w:r>
    </w:p>
    <w:p w14:paraId="3B8C5297">
      <w:pPr>
        <w:numPr>
          <w:ilvl w:val="3"/>
          <w:numId w:val="1"/>
        </w:numPr>
        <w:spacing w:before="0" w:after="0" w:line="360" w:lineRule="auto"/>
        <w:outlineLvl w:val="9"/>
        <w:rPr>
          <w:rFonts w:hint="eastAsia" w:ascii="宋体" w:hAnsi="宋体" w:eastAsia="宋体" w:cs="宋体"/>
          <w:b w:val="0"/>
          <w:color w:val="auto"/>
          <w:sz w:val="24"/>
          <w:szCs w:val="24"/>
          <w:highlight w:val="none"/>
        </w:rPr>
      </w:pPr>
      <w:bookmarkStart w:id="335" w:name="_Toc351203643"/>
      <w:r>
        <w:rPr>
          <w:rFonts w:hint="eastAsia" w:ascii="宋体" w:hAnsi="宋体" w:eastAsia="宋体" w:cs="宋体"/>
          <w:b w:val="0"/>
          <w:color w:val="auto"/>
          <w:sz w:val="24"/>
          <w:szCs w:val="24"/>
          <w:highlight w:val="none"/>
        </w:rPr>
        <w:t>11. 价格调整</w:t>
      </w:r>
      <w:bookmarkEnd w:id="335"/>
    </w:p>
    <w:bookmarkEnd w:id="256"/>
    <w:bookmarkEnd w:id="257"/>
    <w:bookmarkEnd w:id="258"/>
    <w:bookmarkEnd w:id="259"/>
    <w:bookmarkEnd w:id="260"/>
    <w:bookmarkEnd w:id="261"/>
    <w:p w14:paraId="2935DCB4">
      <w:pPr>
        <w:pageBreakBefore w:val="0"/>
        <w:kinsoku/>
        <w:wordWrap/>
        <w:overflowPunct/>
        <w:topLinePunct w:val="0"/>
        <w:bidi w:val="0"/>
        <w:snapToGrid/>
        <w:spacing w:line="288" w:lineRule="auto"/>
        <w:ind w:left="0" w:leftChars="0" w:right="0" w:rightChars="0" w:firstLine="480" w:firstLineChars="200"/>
        <w:jc w:val="left"/>
        <w:textAlignment w:val="auto"/>
        <w:rPr>
          <w:rFonts w:hint="eastAsia" w:ascii="宋体" w:hAnsi="宋体" w:eastAsia="宋体" w:cs="宋体"/>
          <w:color w:val="000000"/>
          <w:sz w:val="24"/>
          <w:szCs w:val="24"/>
        </w:rPr>
      </w:pPr>
      <w:bookmarkStart w:id="336" w:name="_Toc297120505"/>
      <w:bookmarkStart w:id="337" w:name="_Toc296891245"/>
      <w:bookmarkStart w:id="338" w:name="_Toc296346706"/>
      <w:bookmarkStart w:id="339" w:name="_Toc296503205"/>
      <w:bookmarkStart w:id="340" w:name="_Toc296891033"/>
      <w:bookmarkStart w:id="341" w:name="_Toc296347204"/>
      <w:bookmarkStart w:id="342" w:name="_Toc292559410"/>
      <w:bookmarkStart w:id="343" w:name="_Toc296944544"/>
      <w:bookmarkStart w:id="344" w:name="_Toc297048391"/>
      <w:bookmarkStart w:id="345" w:name="_Toc292559915"/>
      <w:bookmarkStart w:id="346" w:name="_Toc351203644"/>
      <w:bookmarkStart w:id="347" w:name="_Toc300935002"/>
      <w:bookmarkStart w:id="348" w:name="_Toc312678040"/>
      <w:bookmarkStart w:id="349" w:name="_Toc303539159"/>
      <w:bookmarkStart w:id="350" w:name="_Toc304295579"/>
      <w:bookmarkStart w:id="351" w:name="_Toc297216211"/>
      <w:bookmarkStart w:id="352" w:name="_Toc297123552"/>
      <w:r>
        <w:rPr>
          <w:rFonts w:hint="eastAsia" w:ascii="宋体" w:hAnsi="宋体" w:eastAsia="宋体" w:cs="宋体"/>
          <w:color w:val="000000"/>
          <w:kern w:val="0"/>
          <w:sz w:val="24"/>
          <w:szCs w:val="24"/>
        </w:rPr>
        <w:t>市场价格波动是否调整合同价格的约定：</w:t>
      </w:r>
      <w:r>
        <w:rPr>
          <w:rFonts w:hint="eastAsia" w:ascii="宋体" w:hAnsi="宋体" w:eastAsia="宋体" w:cs="宋体"/>
          <w:sz w:val="24"/>
          <w:szCs w:val="24"/>
          <w:u w:val="single"/>
        </w:rPr>
        <w:t xml:space="preserve">  不调整  </w:t>
      </w:r>
      <w:r>
        <w:rPr>
          <w:rFonts w:hint="eastAsia" w:ascii="宋体" w:hAnsi="宋体" w:eastAsia="宋体" w:cs="宋体"/>
          <w:sz w:val="24"/>
          <w:szCs w:val="24"/>
        </w:rPr>
        <w:t>。</w:t>
      </w:r>
    </w:p>
    <w:p w14:paraId="1B3FC6AA">
      <w:pPr>
        <w:pageBreakBefore w:val="0"/>
        <w:kinsoku/>
        <w:wordWrap/>
        <w:overflowPunct/>
        <w:topLinePunct w:val="0"/>
        <w:bidi w:val="0"/>
        <w:snapToGrid/>
        <w:spacing w:line="288" w:lineRule="auto"/>
        <w:ind w:left="0" w:leftChars="0" w:right="0" w:righ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因市场价格波动调整合同价格，采用以下</w:t>
      </w:r>
      <w:r>
        <w:rPr>
          <w:rFonts w:hint="eastAsia" w:ascii="宋体" w:hAnsi="宋体" w:eastAsia="宋体" w:cs="宋体"/>
          <w:sz w:val="24"/>
          <w:szCs w:val="24"/>
        </w:rPr>
        <w:t>第</w:t>
      </w:r>
      <w:r>
        <w:rPr>
          <w:rFonts w:hint="eastAsia" w:ascii="宋体" w:hAnsi="宋体" w:eastAsia="宋体" w:cs="宋体"/>
          <w:sz w:val="24"/>
          <w:szCs w:val="24"/>
          <w:u w:val="single"/>
        </w:rPr>
        <w:t xml:space="preserve">  /  </w:t>
      </w:r>
      <w:r>
        <w:rPr>
          <w:rFonts w:hint="eastAsia" w:ascii="宋体" w:hAnsi="宋体" w:eastAsia="宋体" w:cs="宋体"/>
          <w:color w:val="000000"/>
          <w:sz w:val="24"/>
          <w:szCs w:val="24"/>
        </w:rPr>
        <w:t>种方式对合同价格进行调整：</w:t>
      </w:r>
    </w:p>
    <w:p w14:paraId="1F6F862F">
      <w:pPr>
        <w:pageBreakBefore w:val="0"/>
        <w:kinsoku/>
        <w:wordWrap/>
        <w:overflowPunct/>
        <w:topLinePunct w:val="0"/>
        <w:bidi w:val="0"/>
        <w:snapToGrid/>
        <w:spacing w:line="288" w:lineRule="auto"/>
        <w:ind w:left="0" w:leftChars="0" w:right="0" w:righ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第1种方式：采用价格指数进行价格调整。</w:t>
      </w:r>
    </w:p>
    <w:p w14:paraId="4C233F6F">
      <w:pPr>
        <w:pageBreakBefore w:val="0"/>
        <w:kinsoku/>
        <w:wordWrap/>
        <w:overflowPunct/>
        <w:topLinePunct w:val="0"/>
        <w:bidi w:val="0"/>
        <w:snapToGrid/>
        <w:spacing w:line="288" w:lineRule="auto"/>
        <w:ind w:left="0" w:leftChars="0" w:right="0" w:rightChars="0"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关于各可调因子、定值和变值权重，以及基本价格指数及其来源的约定：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DBAC4EF">
      <w:pPr>
        <w:pageBreakBefore w:val="0"/>
        <w:kinsoku/>
        <w:wordWrap/>
        <w:overflowPunct/>
        <w:topLinePunct w:val="0"/>
        <w:bidi w:val="0"/>
        <w:snapToGrid/>
        <w:spacing w:line="288" w:lineRule="auto"/>
        <w:ind w:left="0" w:leftChars="0" w:right="0" w:righ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第2种方式：采用造价信息进行价格调整。</w:t>
      </w:r>
    </w:p>
    <w:p w14:paraId="4C6E00EC">
      <w:pPr>
        <w:pageBreakBefore w:val="0"/>
        <w:kinsoku/>
        <w:wordWrap/>
        <w:overflowPunct/>
        <w:topLinePunct w:val="0"/>
        <w:bidi w:val="0"/>
        <w:snapToGrid/>
        <w:spacing w:line="288" w:lineRule="auto"/>
        <w:ind w:left="0" w:leftChars="0" w:right="0" w:righ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关于基准价格的约定：</w:t>
      </w:r>
      <w:r>
        <w:rPr>
          <w:rFonts w:hint="eastAsia" w:ascii="宋体" w:hAnsi="宋体" w:eastAsia="宋体" w:cs="宋体"/>
          <w:sz w:val="24"/>
          <w:szCs w:val="24"/>
          <w:u w:val="single"/>
        </w:rPr>
        <w:t xml:space="preserve">  采用造价信息进行调整  </w:t>
      </w:r>
      <w:r>
        <w:rPr>
          <w:rFonts w:hint="eastAsia" w:ascii="宋体" w:hAnsi="宋体" w:eastAsia="宋体" w:cs="宋体"/>
          <w:sz w:val="24"/>
          <w:szCs w:val="24"/>
        </w:rPr>
        <w:t>。</w:t>
      </w:r>
    </w:p>
    <w:p w14:paraId="3B481884">
      <w:pPr>
        <w:pageBreakBefore w:val="0"/>
        <w:kinsoku/>
        <w:wordWrap/>
        <w:overflowPunct/>
        <w:topLinePunct w:val="0"/>
        <w:bidi w:val="0"/>
        <w:snapToGrid/>
        <w:spacing w:line="288" w:lineRule="auto"/>
        <w:ind w:left="0" w:leftChars="0" w:right="0" w:righ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承包人在已标价工程量清单或预算书中载明的材料单价低于基准价格的：专用合同条款合同履行期间材料单价涨幅以基准价格为基础超过</w:t>
      </w:r>
      <w:r>
        <w:rPr>
          <w:rFonts w:hint="eastAsia" w:ascii="宋体" w:hAnsi="宋体" w:eastAsia="宋体" w:cs="宋体"/>
          <w:color w:val="000000"/>
          <w:sz w:val="24"/>
          <w:szCs w:val="24"/>
          <w:u w:val="single"/>
        </w:rPr>
        <w:t xml:space="preserve"> 5 </w:t>
      </w:r>
      <w:r>
        <w:rPr>
          <w:rFonts w:hint="eastAsia" w:ascii="宋体" w:hAnsi="宋体" w:eastAsia="宋体" w:cs="宋体"/>
          <w:color w:val="000000"/>
          <w:sz w:val="24"/>
          <w:szCs w:val="24"/>
        </w:rPr>
        <w:t>%时，或材料单价跌幅以已标价工程量清单或预算书中载明材料单价为基础超过</w:t>
      </w:r>
      <w:r>
        <w:rPr>
          <w:rFonts w:hint="eastAsia" w:ascii="宋体" w:hAnsi="宋体" w:eastAsia="宋体" w:cs="宋体"/>
          <w:color w:val="000000"/>
          <w:sz w:val="24"/>
          <w:szCs w:val="24"/>
          <w:u w:val="single"/>
        </w:rPr>
        <w:t xml:space="preserve"> 5 </w:t>
      </w:r>
      <w:r>
        <w:rPr>
          <w:rFonts w:hint="eastAsia" w:ascii="宋体" w:hAnsi="宋体" w:eastAsia="宋体" w:cs="宋体"/>
          <w:color w:val="000000"/>
          <w:sz w:val="24"/>
          <w:szCs w:val="24"/>
        </w:rPr>
        <w:t>%时，其超过部分据实调整。</w:t>
      </w:r>
    </w:p>
    <w:p w14:paraId="54E9DCF3">
      <w:pPr>
        <w:pageBreakBefore w:val="0"/>
        <w:kinsoku/>
        <w:wordWrap/>
        <w:overflowPunct/>
        <w:topLinePunct w:val="0"/>
        <w:bidi w:val="0"/>
        <w:snapToGrid/>
        <w:spacing w:line="288" w:lineRule="auto"/>
        <w:ind w:left="0" w:leftChars="0" w:right="0" w:righ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承包人在已标价工程量清单或预算书中载明的材料单价高于基准价格的：专用合同条款合同履行期间材料单价跌幅以基准价格为基础超过</w:t>
      </w:r>
      <w:r>
        <w:rPr>
          <w:rFonts w:hint="eastAsia" w:ascii="宋体" w:hAnsi="宋体" w:eastAsia="宋体" w:cs="宋体"/>
          <w:color w:val="000000"/>
          <w:sz w:val="24"/>
          <w:szCs w:val="24"/>
          <w:u w:val="single"/>
        </w:rPr>
        <w:t xml:space="preserve"> 5 </w:t>
      </w:r>
      <w:r>
        <w:rPr>
          <w:rFonts w:hint="eastAsia" w:ascii="宋体" w:hAnsi="宋体" w:eastAsia="宋体" w:cs="宋体"/>
          <w:color w:val="000000"/>
          <w:sz w:val="24"/>
          <w:szCs w:val="24"/>
        </w:rPr>
        <w:t>%时，材料单价涨幅以已标价工程量清单或预算书中载明材料单价为基础超过</w:t>
      </w:r>
      <w:r>
        <w:rPr>
          <w:rFonts w:hint="eastAsia" w:ascii="宋体" w:hAnsi="宋体" w:eastAsia="宋体" w:cs="宋体"/>
          <w:color w:val="000000"/>
          <w:sz w:val="24"/>
          <w:szCs w:val="24"/>
          <w:u w:val="single"/>
        </w:rPr>
        <w:t xml:space="preserve"> 5</w:t>
      </w:r>
      <w:r>
        <w:rPr>
          <w:rFonts w:hint="eastAsia" w:ascii="宋体" w:hAnsi="宋体" w:eastAsia="宋体" w:cs="宋体"/>
          <w:color w:val="000000"/>
          <w:sz w:val="24"/>
          <w:szCs w:val="24"/>
        </w:rPr>
        <w:t>%时，其超过部分据实调整。</w:t>
      </w:r>
    </w:p>
    <w:p w14:paraId="6FB37A00">
      <w:pPr>
        <w:pageBreakBefore w:val="0"/>
        <w:kinsoku/>
        <w:wordWrap/>
        <w:overflowPunct/>
        <w:topLinePunct w:val="0"/>
        <w:bidi w:val="0"/>
        <w:snapToGrid/>
        <w:spacing w:line="288" w:lineRule="auto"/>
        <w:ind w:left="0" w:leftChars="0" w:right="0" w:rightChars="0" w:firstLine="645"/>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承包人在已标价工程量清单或预算书中载明的材料单价等于基准单价的：专用合同条款合同履行期间材料单价涨跌幅以基准单价为基础超过±</w:t>
      </w:r>
      <w:r>
        <w:rPr>
          <w:rFonts w:hint="eastAsia" w:ascii="宋体" w:hAnsi="宋体" w:eastAsia="宋体" w:cs="宋体"/>
          <w:color w:val="000000"/>
          <w:sz w:val="24"/>
          <w:szCs w:val="24"/>
          <w:u w:val="single"/>
        </w:rPr>
        <w:t xml:space="preserve"> 5</w:t>
      </w:r>
      <w:r>
        <w:rPr>
          <w:rFonts w:hint="eastAsia" w:ascii="宋体" w:hAnsi="宋体" w:eastAsia="宋体" w:cs="宋体"/>
          <w:color w:val="000000"/>
          <w:sz w:val="24"/>
          <w:szCs w:val="24"/>
        </w:rPr>
        <w:t>%时，其超过部分据实调整。</w:t>
      </w:r>
    </w:p>
    <w:p w14:paraId="1AFE377F">
      <w:pPr>
        <w:pageBreakBefore w:val="0"/>
        <w:kinsoku/>
        <w:wordWrap/>
        <w:overflowPunct/>
        <w:topLinePunct w:val="0"/>
        <w:bidi w:val="0"/>
        <w:snapToGrid/>
        <w:spacing w:line="288" w:lineRule="auto"/>
        <w:ind w:left="0" w:leftChars="0" w:right="0" w:rightChars="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第3种方式：其他价格调整方式：</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03D3B315">
      <w:pPr>
        <w:numPr>
          <w:ilvl w:val="3"/>
          <w:numId w:val="1"/>
        </w:numPr>
        <w:spacing w:before="0" w:after="0" w:line="360" w:lineRule="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 xml:space="preserve">12. </w:t>
      </w:r>
      <w:bookmarkEnd w:id="336"/>
      <w:bookmarkEnd w:id="337"/>
      <w:bookmarkEnd w:id="338"/>
      <w:bookmarkEnd w:id="339"/>
      <w:bookmarkEnd w:id="340"/>
      <w:bookmarkEnd w:id="341"/>
      <w:bookmarkEnd w:id="342"/>
      <w:bookmarkEnd w:id="343"/>
      <w:bookmarkEnd w:id="344"/>
      <w:bookmarkEnd w:id="345"/>
      <w:r>
        <w:rPr>
          <w:rFonts w:hint="eastAsia" w:ascii="宋体" w:hAnsi="宋体" w:eastAsia="宋体" w:cs="宋体"/>
          <w:b w:val="0"/>
          <w:color w:val="auto"/>
          <w:sz w:val="24"/>
          <w:szCs w:val="24"/>
          <w:highlight w:val="none"/>
        </w:rPr>
        <w:t>合同价格、计量与支付</w:t>
      </w:r>
      <w:bookmarkEnd w:id="346"/>
    </w:p>
    <w:bookmarkEnd w:id="347"/>
    <w:bookmarkEnd w:id="348"/>
    <w:bookmarkEnd w:id="349"/>
    <w:bookmarkEnd w:id="350"/>
    <w:bookmarkEnd w:id="351"/>
    <w:bookmarkEnd w:id="352"/>
    <w:p w14:paraId="405F4419">
      <w:pPr>
        <w:spacing w:line="360" w:lineRule="auto"/>
        <w:ind w:firstLine="480" w:firstLineChars="200"/>
        <w:outlineLvl w:val="9"/>
        <w:rPr>
          <w:rFonts w:hint="eastAsia" w:ascii="宋体" w:hAnsi="宋体" w:eastAsia="宋体" w:cs="宋体"/>
          <w:color w:val="auto"/>
          <w:sz w:val="24"/>
          <w:szCs w:val="24"/>
          <w:highlight w:val="none"/>
        </w:rPr>
      </w:pPr>
      <w:bookmarkStart w:id="353" w:name="_Toc267251461"/>
      <w:bookmarkStart w:id="354" w:name="_Toc292559411"/>
      <w:bookmarkStart w:id="355" w:name="_Toc292559916"/>
      <w:bookmarkStart w:id="356" w:name="_Toc297120506"/>
      <w:bookmarkStart w:id="357" w:name="_Toc296503206"/>
      <w:bookmarkStart w:id="358" w:name="_Toc296891034"/>
      <w:bookmarkStart w:id="359" w:name="_Toc297048392"/>
      <w:bookmarkStart w:id="360" w:name="_Toc296346707"/>
      <w:bookmarkStart w:id="361" w:name="_Toc296347205"/>
      <w:bookmarkStart w:id="362" w:name="_Toc296944545"/>
      <w:bookmarkStart w:id="363" w:name="_Toc296891246"/>
      <w:bookmarkStart w:id="364" w:name="_Toc300935003"/>
      <w:bookmarkStart w:id="365" w:name="_Toc304295580"/>
      <w:bookmarkStart w:id="366" w:name="_Toc297123553"/>
      <w:bookmarkStart w:id="367" w:name="_Toc303539160"/>
      <w:bookmarkStart w:id="368" w:name="_Toc312678041"/>
      <w:bookmarkStart w:id="369" w:name="_Toc297216212"/>
      <w:r>
        <w:rPr>
          <w:rFonts w:hint="eastAsia" w:ascii="宋体" w:hAnsi="宋体" w:eastAsia="宋体" w:cs="宋体"/>
          <w:color w:val="auto"/>
          <w:sz w:val="24"/>
          <w:szCs w:val="24"/>
          <w:highlight w:val="none"/>
        </w:rPr>
        <w:t>12.1 合</w:t>
      </w:r>
      <w:bookmarkEnd w:id="353"/>
      <w:bookmarkEnd w:id="354"/>
      <w:bookmarkEnd w:id="355"/>
      <w:r>
        <w:rPr>
          <w:rFonts w:hint="eastAsia" w:ascii="宋体" w:hAnsi="宋体" w:eastAsia="宋体" w:cs="宋体"/>
          <w:color w:val="auto"/>
          <w:sz w:val="24"/>
          <w:szCs w:val="24"/>
          <w:highlight w:val="none"/>
        </w:rPr>
        <w:t>同价</w:t>
      </w:r>
      <w:bookmarkEnd w:id="356"/>
      <w:bookmarkEnd w:id="357"/>
      <w:bookmarkEnd w:id="358"/>
      <w:bookmarkEnd w:id="359"/>
      <w:bookmarkEnd w:id="360"/>
      <w:bookmarkEnd w:id="361"/>
      <w:bookmarkEnd w:id="362"/>
      <w:bookmarkEnd w:id="363"/>
      <w:r>
        <w:rPr>
          <w:rFonts w:hint="eastAsia" w:ascii="宋体" w:hAnsi="宋体" w:eastAsia="宋体" w:cs="宋体"/>
          <w:color w:val="auto"/>
          <w:sz w:val="24"/>
          <w:szCs w:val="24"/>
          <w:highlight w:val="none"/>
        </w:rPr>
        <w:t>格形式</w:t>
      </w:r>
    </w:p>
    <w:bookmarkEnd w:id="364"/>
    <w:bookmarkEnd w:id="365"/>
    <w:bookmarkEnd w:id="366"/>
    <w:bookmarkEnd w:id="367"/>
    <w:bookmarkEnd w:id="368"/>
    <w:bookmarkEnd w:id="369"/>
    <w:p w14:paraId="2B105C52">
      <w:pPr>
        <w:pageBreakBefore w:val="0"/>
        <w:kinsoku/>
        <w:wordWrap/>
        <w:overflowPunct/>
        <w:topLinePunct w:val="0"/>
        <w:bidi w:val="0"/>
        <w:snapToGrid/>
        <w:spacing w:line="288" w:lineRule="auto"/>
        <w:ind w:left="0" w:leftChars="0" w:right="0" w:rightChars="0" w:firstLine="480" w:firstLineChars="200"/>
        <w:jc w:val="left"/>
        <w:textAlignment w:val="auto"/>
        <w:rPr>
          <w:rFonts w:hint="eastAsia" w:ascii="宋体" w:hAnsi="宋体" w:eastAsia="宋体" w:cs="宋体"/>
          <w:color w:val="000000"/>
          <w:sz w:val="24"/>
          <w:szCs w:val="24"/>
        </w:rPr>
      </w:pPr>
      <w:bookmarkStart w:id="370" w:name="_Toc304295581"/>
      <w:bookmarkStart w:id="371" w:name="_Toc303539161"/>
      <w:bookmarkStart w:id="372" w:name="_Toc312678042"/>
      <w:bookmarkStart w:id="373" w:name="_Toc297216213"/>
      <w:bookmarkStart w:id="374" w:name="_Toc300935004"/>
      <w:bookmarkStart w:id="375" w:name="_Toc297123554"/>
      <w:bookmarkStart w:id="376" w:name="_Toc296503207"/>
      <w:bookmarkStart w:id="377" w:name="_Toc292559412"/>
      <w:bookmarkStart w:id="378" w:name="_Toc297120507"/>
      <w:bookmarkStart w:id="379" w:name="_Toc296346708"/>
      <w:bookmarkStart w:id="380" w:name="_Toc296891247"/>
      <w:bookmarkStart w:id="381" w:name="_Toc296944546"/>
      <w:bookmarkStart w:id="382" w:name="_Toc296891035"/>
      <w:bookmarkStart w:id="383" w:name="_Toc296347206"/>
      <w:bookmarkStart w:id="384" w:name="_Toc297048393"/>
      <w:bookmarkStart w:id="385" w:name="_Toc292559917"/>
      <w:r>
        <w:rPr>
          <w:rFonts w:hint="eastAsia" w:ascii="宋体" w:hAnsi="宋体" w:eastAsia="宋体" w:cs="宋体"/>
          <w:color w:val="000000"/>
          <w:sz w:val="24"/>
          <w:szCs w:val="24"/>
          <w:lang w:val="en-US" w:eastAsia="zh-CN"/>
        </w:rPr>
        <w:t xml:space="preserve">12.1.1 </w:t>
      </w:r>
      <w:r>
        <w:rPr>
          <w:rFonts w:hint="eastAsia" w:ascii="宋体" w:hAnsi="宋体" w:eastAsia="宋体" w:cs="宋体"/>
          <w:color w:val="000000"/>
          <w:sz w:val="24"/>
          <w:szCs w:val="24"/>
        </w:rPr>
        <w:t>单价合同。</w:t>
      </w:r>
    </w:p>
    <w:p w14:paraId="0C77571A">
      <w:pPr>
        <w:pageBreakBefore w:val="0"/>
        <w:kinsoku/>
        <w:wordWrap/>
        <w:overflowPunct/>
        <w:topLinePunct w:val="0"/>
        <w:bidi w:val="0"/>
        <w:snapToGrid/>
        <w:spacing w:line="288" w:lineRule="auto"/>
        <w:ind w:left="0" w:leftChars="0" w:right="0" w:righ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综合单价包含的风险范围：</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7CB0A719">
      <w:pPr>
        <w:pageBreakBefore w:val="0"/>
        <w:kinsoku/>
        <w:wordWrap/>
        <w:overflowPunct/>
        <w:topLinePunct w:val="0"/>
        <w:bidi w:val="0"/>
        <w:snapToGrid/>
        <w:spacing w:line="288" w:lineRule="auto"/>
        <w:ind w:left="0" w:leftChars="0" w:right="0" w:righ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风险费用的计算方法：</w:t>
      </w:r>
      <w:r>
        <w:rPr>
          <w:rFonts w:hint="eastAsia" w:ascii="宋体" w:hAnsi="宋体" w:eastAsia="宋体" w:cs="宋体"/>
          <w:color w:val="000000"/>
          <w:sz w:val="24"/>
          <w:szCs w:val="24"/>
          <w:u w:val="single"/>
        </w:rPr>
        <w:t>（1）清单或合同中已有适用于变更工程的价格，按合同已有的价格变更合同价款；（2）清单或合同中只有类似于变更工程的价格，可以参照类似价格变更合同介款；（3）清单或合同中没有适用或类似于变更工程的价格，由承包人提出适当的变更价格，经发包人确认后执行</w:t>
      </w:r>
      <w:r>
        <w:rPr>
          <w:rFonts w:hint="eastAsia" w:ascii="宋体" w:hAnsi="宋体" w:eastAsia="宋体" w:cs="宋体"/>
          <w:color w:val="000000"/>
          <w:sz w:val="24"/>
          <w:szCs w:val="24"/>
        </w:rPr>
        <w:t>。</w:t>
      </w:r>
    </w:p>
    <w:p w14:paraId="407D4EBC">
      <w:pPr>
        <w:pageBreakBefore w:val="0"/>
        <w:kinsoku/>
        <w:wordWrap/>
        <w:overflowPunct/>
        <w:topLinePunct w:val="0"/>
        <w:bidi w:val="0"/>
        <w:snapToGrid/>
        <w:spacing w:line="288" w:lineRule="auto"/>
        <w:ind w:left="0" w:leftChars="0" w:right="0" w:righ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12.1.2 </w:t>
      </w:r>
      <w:r>
        <w:rPr>
          <w:rFonts w:hint="eastAsia" w:ascii="宋体" w:hAnsi="宋体" w:eastAsia="宋体" w:cs="宋体"/>
          <w:color w:val="000000"/>
          <w:sz w:val="24"/>
          <w:szCs w:val="24"/>
        </w:rPr>
        <w:t>总价合同。</w:t>
      </w:r>
    </w:p>
    <w:p w14:paraId="572F6224">
      <w:pPr>
        <w:pageBreakBefore w:val="0"/>
        <w:kinsoku/>
        <w:wordWrap/>
        <w:overflowPunct/>
        <w:topLinePunct w:val="0"/>
        <w:bidi w:val="0"/>
        <w:snapToGrid/>
        <w:spacing w:line="288" w:lineRule="auto"/>
        <w:ind w:left="0" w:leftChars="0" w:right="0" w:righ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总价包含的风险范围：</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3DA74340">
      <w:pPr>
        <w:pageBreakBefore w:val="0"/>
        <w:kinsoku/>
        <w:wordWrap/>
        <w:overflowPunct/>
        <w:topLinePunct w:val="0"/>
        <w:bidi w:val="0"/>
        <w:snapToGrid/>
        <w:spacing w:line="288" w:lineRule="auto"/>
        <w:ind w:left="0" w:leftChars="0" w:right="0" w:righ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风险费用的计算方法：</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7789CF06">
      <w:pPr>
        <w:pageBreakBefore w:val="0"/>
        <w:kinsoku/>
        <w:wordWrap/>
        <w:overflowPunct/>
        <w:topLinePunct w:val="0"/>
        <w:bidi w:val="0"/>
        <w:snapToGrid/>
        <w:spacing w:line="288" w:lineRule="auto"/>
        <w:ind w:left="0" w:leftChars="0" w:right="0" w:righ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风险范围以外合同价格的调整方法：</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421DCCE1">
      <w:pPr>
        <w:pageBreakBefore w:val="0"/>
        <w:kinsoku/>
        <w:wordWrap/>
        <w:overflowPunct/>
        <w:topLinePunct w:val="0"/>
        <w:bidi w:val="0"/>
        <w:snapToGrid/>
        <w:spacing w:line="288" w:lineRule="auto"/>
        <w:ind w:left="0" w:leftChars="0" w:right="0" w:righ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12.1.3 </w:t>
      </w:r>
      <w:r>
        <w:rPr>
          <w:rFonts w:hint="eastAsia" w:ascii="宋体" w:hAnsi="宋体" w:eastAsia="宋体" w:cs="宋体"/>
          <w:color w:val="000000"/>
          <w:sz w:val="24"/>
          <w:szCs w:val="24"/>
        </w:rPr>
        <w:t>其他价格方式：</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2C5669E7">
      <w:pPr>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预付款</w:t>
      </w:r>
    </w:p>
    <w:bookmarkEnd w:id="370"/>
    <w:bookmarkEnd w:id="371"/>
    <w:bookmarkEnd w:id="372"/>
    <w:bookmarkEnd w:id="373"/>
    <w:bookmarkEnd w:id="374"/>
    <w:bookmarkEnd w:id="375"/>
    <w:p w14:paraId="5C7E0049">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r>
        <w:rPr>
          <w:rFonts w:hint="eastAsia" w:ascii="宋体" w:hAnsi="宋体" w:eastAsia="宋体" w:cs="宋体"/>
          <w:color w:val="auto"/>
          <w:sz w:val="24"/>
          <w:szCs w:val="24"/>
          <w:highlight w:val="none"/>
          <w:lang w:val="en-US" w:eastAsia="zh-CN"/>
        </w:rPr>
        <w:t xml:space="preserve"> </w:t>
      </w:r>
    </w:p>
    <w:p w14:paraId="67E721F6">
      <w:pPr>
        <w:spacing w:line="360" w:lineRule="auto"/>
        <w:ind w:firstLine="480" w:firstLineChars="200"/>
        <w:jc w:val="left"/>
        <w:outlineLvl w:val="9"/>
        <w:rPr>
          <w:rFonts w:hint="default" w:ascii="宋体" w:hAnsi="宋体" w:eastAsia="宋体" w:cs="宋体"/>
          <w:color w:val="FF0000"/>
          <w:sz w:val="24"/>
          <w:szCs w:val="24"/>
          <w:highlight w:val="none"/>
          <w:lang w:val="en-US" w:eastAsia="zh-CN"/>
        </w:rPr>
      </w:pPr>
      <w:r>
        <w:rPr>
          <w:rFonts w:hint="eastAsia" w:ascii="宋体" w:hAnsi="宋体" w:eastAsia="宋体" w:cs="宋体"/>
          <w:color w:val="auto"/>
          <w:sz w:val="24"/>
          <w:szCs w:val="24"/>
          <w:highlight w:val="none"/>
        </w:rPr>
        <w:t>预付款支付比例或金额：</w:t>
      </w:r>
      <w:r>
        <w:rPr>
          <w:rFonts w:hint="eastAsia" w:ascii="宋体" w:hAnsi="宋体" w:cs="宋体"/>
          <w:color w:val="auto"/>
          <w:sz w:val="24"/>
          <w:szCs w:val="24"/>
          <w:highlight w:val="none"/>
          <w:u w:val="single"/>
          <w:lang w:val="en-US" w:eastAsia="zh-CN"/>
        </w:rPr>
        <w:t xml:space="preserve">无 </w:t>
      </w:r>
    </w:p>
    <w:p w14:paraId="332B1456">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预付款支付期限：</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p>
    <w:p w14:paraId="21D76D73">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预付款扣回的方式：</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725E3D08">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39706692">
      <w:pPr>
        <w:spacing w:line="360" w:lineRule="auto"/>
        <w:ind w:left="239" w:leftChars="114" w:firstLine="240" w:firstLineChars="1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p>
    <w:p w14:paraId="187B3BDE">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376"/>
    <w:bookmarkEnd w:id="377"/>
    <w:bookmarkEnd w:id="378"/>
    <w:bookmarkEnd w:id="379"/>
    <w:bookmarkEnd w:id="380"/>
    <w:bookmarkEnd w:id="381"/>
    <w:bookmarkEnd w:id="382"/>
    <w:bookmarkEnd w:id="383"/>
    <w:bookmarkEnd w:id="384"/>
    <w:bookmarkEnd w:id="385"/>
    <w:p w14:paraId="303261E0">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14:paraId="48B4F585">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2F60A5BB">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工程量计算规则：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43B270F">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5FECE06F">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执行通用合同条款</w:t>
      </w:r>
      <w:r>
        <w:rPr>
          <w:rFonts w:hint="eastAsia" w:ascii="宋体" w:hAnsi="宋体" w:eastAsia="宋体" w:cs="宋体"/>
          <w:color w:val="auto"/>
          <w:sz w:val="24"/>
          <w:szCs w:val="24"/>
          <w:highlight w:val="none"/>
        </w:rPr>
        <w:t>。</w:t>
      </w:r>
    </w:p>
    <w:p w14:paraId="3A8B56E8">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4BAAAC20">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执行通用合同条款</w:t>
      </w:r>
      <w:r>
        <w:rPr>
          <w:rFonts w:hint="eastAsia" w:ascii="宋体" w:hAnsi="宋体" w:eastAsia="宋体" w:cs="宋体"/>
          <w:color w:val="auto"/>
          <w:sz w:val="24"/>
          <w:szCs w:val="24"/>
          <w:highlight w:val="none"/>
        </w:rPr>
        <w:t>。</w:t>
      </w:r>
    </w:p>
    <w:p w14:paraId="2B869F43">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7615669E">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执行通用合同条款</w:t>
      </w:r>
      <w:r>
        <w:rPr>
          <w:rFonts w:hint="eastAsia" w:ascii="宋体" w:hAnsi="宋体" w:eastAsia="宋体" w:cs="宋体"/>
          <w:color w:val="auto"/>
          <w:sz w:val="24"/>
          <w:szCs w:val="24"/>
          <w:highlight w:val="none"/>
        </w:rPr>
        <w:t>。</w:t>
      </w:r>
    </w:p>
    <w:p w14:paraId="76F77283">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0952D62">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084AB9E8">
      <w:pPr>
        <w:spacing w:line="360" w:lineRule="auto"/>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1AD4FCD">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 工程进度款支付</w:t>
      </w:r>
    </w:p>
    <w:p w14:paraId="71258D59">
      <w:pPr>
        <w:spacing w:line="360" w:lineRule="auto"/>
        <w:ind w:firstLine="480" w:firstLineChars="200"/>
        <w:jc w:val="left"/>
        <w:outlineLvl w:val="9"/>
        <w:rPr>
          <w:rFonts w:hint="eastAsia" w:ascii="宋体" w:hAnsi="宋体" w:eastAsia="宋体" w:cs="宋体"/>
          <w:color w:val="auto"/>
          <w:sz w:val="24"/>
          <w:szCs w:val="24"/>
          <w:highlight w:val="none"/>
        </w:rPr>
      </w:pPr>
      <w:bookmarkStart w:id="386" w:name="_Toc300935006"/>
      <w:bookmarkStart w:id="387" w:name="_Toc296346712"/>
      <w:bookmarkStart w:id="388" w:name="_Toc297048397"/>
      <w:bookmarkStart w:id="389" w:name="_Toc296347210"/>
      <w:bookmarkStart w:id="390" w:name="_Toc297120511"/>
      <w:bookmarkStart w:id="391" w:name="_Toc297216215"/>
      <w:bookmarkStart w:id="392" w:name="_Toc296503211"/>
      <w:bookmarkStart w:id="393" w:name="_Toc297123556"/>
      <w:bookmarkStart w:id="394" w:name="_Toc292559416"/>
      <w:bookmarkStart w:id="395" w:name="_Toc296944550"/>
      <w:bookmarkStart w:id="396" w:name="_Toc296891251"/>
      <w:bookmarkStart w:id="397" w:name="_Toc292559921"/>
      <w:bookmarkStart w:id="398" w:name="_Toc296891039"/>
      <w:bookmarkStart w:id="399" w:name="_Toc303539163"/>
      <w:r>
        <w:rPr>
          <w:rFonts w:hint="eastAsia" w:ascii="宋体" w:hAnsi="宋体" w:eastAsia="宋体" w:cs="宋体"/>
          <w:color w:val="auto"/>
          <w:sz w:val="24"/>
          <w:szCs w:val="24"/>
          <w:highlight w:val="none"/>
        </w:rPr>
        <w:t>12.4.1 付款周期</w:t>
      </w:r>
    </w:p>
    <w:p w14:paraId="046C428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u w:val="single"/>
        </w:rPr>
        <w:t>项目竣工验收合格并经结算审计，达到付款条件起15日内，一次性支付结算价的100%。</w:t>
      </w:r>
    </w:p>
    <w:p w14:paraId="236EC43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cs="宋体"/>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 xml:space="preserve">2）承包人同意发包人以银行转账的方式支付工程款，承包人指定收款银行账户信息以本合同协议书部分签章处注明的账户信息为准。 </w:t>
      </w:r>
    </w:p>
    <w:p w14:paraId="598527C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3）承包人要求发包人付款前，应向发包人提供与待付款金额等额的正式发票，否则发包人有权迟延付款且无需承担任何责任，同时不免除承包人所应履行的合同义务。承包人应当对其开具发票的合法性、合规性负责，如果因为承包人开具发票的合法性、合规性而导致发包人无法税前扣除或遭受其他损失的，发包人应承担赔偿责任，且发包人有权要求承包人限期重新开具合法有效的发票。</w:t>
      </w:r>
    </w:p>
    <w:p w14:paraId="26E843DC">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485BFCC7">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执行通用合同条款</w:t>
      </w:r>
      <w:r>
        <w:rPr>
          <w:rFonts w:hint="eastAsia" w:ascii="宋体" w:hAnsi="宋体" w:eastAsia="宋体" w:cs="宋体"/>
          <w:color w:val="auto"/>
          <w:sz w:val="24"/>
          <w:szCs w:val="24"/>
          <w:highlight w:val="none"/>
        </w:rPr>
        <w:t>。</w:t>
      </w:r>
    </w:p>
    <w:p w14:paraId="53F79BA9">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r>
        <w:rPr>
          <w:rFonts w:hint="eastAsia" w:ascii="宋体" w:hAnsi="宋体" w:eastAsia="宋体" w:cs="宋体"/>
          <w:color w:val="auto"/>
          <w:sz w:val="24"/>
          <w:szCs w:val="24"/>
          <w:highlight w:val="none"/>
        </w:rPr>
        <w:t>2.4.3 进度付款申请单的提交</w:t>
      </w:r>
    </w:p>
    <w:p w14:paraId="795BD8C8">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执行通用合同条款</w:t>
      </w:r>
      <w:r>
        <w:rPr>
          <w:rFonts w:hint="eastAsia" w:ascii="宋体" w:hAnsi="宋体" w:eastAsia="宋体" w:cs="宋体"/>
          <w:color w:val="auto"/>
          <w:sz w:val="24"/>
          <w:szCs w:val="24"/>
          <w:highlight w:val="none"/>
        </w:rPr>
        <w:t>。</w:t>
      </w:r>
    </w:p>
    <w:p w14:paraId="5454387F">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执行通用合同条款</w:t>
      </w:r>
      <w:r>
        <w:rPr>
          <w:rFonts w:hint="eastAsia" w:ascii="宋体" w:hAnsi="宋体" w:eastAsia="宋体" w:cs="宋体"/>
          <w:color w:val="auto"/>
          <w:sz w:val="24"/>
          <w:szCs w:val="24"/>
          <w:highlight w:val="none"/>
        </w:rPr>
        <w:t>。</w:t>
      </w:r>
    </w:p>
    <w:p w14:paraId="229F0425">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A69EE24">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5D0C5655">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（1）监理人审查并报送发包</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人的期限：</w:t>
      </w:r>
      <w:r>
        <w:rPr>
          <w:rFonts w:hint="eastAsia" w:ascii="宋体" w:hAnsi="宋体" w:eastAsia="宋体" w:cs="宋体"/>
          <w:color w:val="auto"/>
          <w:sz w:val="24"/>
          <w:szCs w:val="24"/>
          <w:highlight w:val="none"/>
          <w:u w:val="single"/>
        </w:rPr>
        <w:t>执行通用合同条款</w:t>
      </w:r>
      <w:r>
        <w:rPr>
          <w:rFonts w:hint="eastAsia" w:ascii="宋体" w:hAnsi="宋体" w:eastAsia="宋体" w:cs="宋体"/>
          <w:color w:val="auto"/>
          <w:sz w:val="24"/>
          <w:szCs w:val="24"/>
          <w:highlight w:val="none"/>
        </w:rPr>
        <w:t>。</w:t>
      </w:r>
    </w:p>
    <w:p w14:paraId="7B828A09">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执行通用合同条款</w:t>
      </w:r>
      <w:r>
        <w:rPr>
          <w:rFonts w:hint="eastAsia" w:ascii="宋体" w:hAnsi="宋体" w:eastAsia="宋体" w:cs="宋体"/>
          <w:color w:val="auto"/>
          <w:sz w:val="24"/>
          <w:szCs w:val="24"/>
          <w:highlight w:val="none"/>
        </w:rPr>
        <w:t>。</w:t>
      </w:r>
    </w:p>
    <w:p w14:paraId="606ABD2E">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执行通用合同条款</w:t>
      </w:r>
      <w:r>
        <w:rPr>
          <w:rFonts w:hint="eastAsia" w:ascii="宋体" w:hAnsi="宋体" w:eastAsia="宋体" w:cs="宋体"/>
          <w:color w:val="auto"/>
          <w:sz w:val="24"/>
          <w:szCs w:val="24"/>
          <w:highlight w:val="none"/>
        </w:rPr>
        <w:t>。</w:t>
      </w:r>
    </w:p>
    <w:p w14:paraId="780C339F">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执行通用合同条款</w:t>
      </w:r>
      <w:r>
        <w:rPr>
          <w:rFonts w:hint="eastAsia" w:ascii="宋体" w:hAnsi="宋体" w:eastAsia="宋体" w:cs="宋体"/>
          <w:color w:val="auto"/>
          <w:sz w:val="24"/>
          <w:szCs w:val="24"/>
          <w:highlight w:val="none"/>
        </w:rPr>
        <w:t>。</w:t>
      </w:r>
    </w:p>
    <w:bookmarkEnd w:id="262"/>
    <w:p w14:paraId="71CE82ED">
      <w:pPr>
        <w:spacing w:line="360" w:lineRule="auto"/>
        <w:ind w:firstLine="480" w:firstLineChars="200"/>
        <w:outlineLvl w:val="9"/>
        <w:rPr>
          <w:rFonts w:hint="eastAsia" w:ascii="宋体" w:hAnsi="宋体" w:eastAsia="宋体" w:cs="宋体"/>
          <w:color w:val="auto"/>
          <w:sz w:val="24"/>
          <w:szCs w:val="24"/>
          <w:highlight w:val="none"/>
        </w:rPr>
      </w:pPr>
      <w:bookmarkStart w:id="400" w:name="_Toc297216224"/>
      <w:bookmarkStart w:id="401" w:name="_Toc296944562"/>
      <w:bookmarkStart w:id="402" w:name="_Toc297120523"/>
      <w:bookmarkStart w:id="403" w:name="_Toc296503223"/>
      <w:bookmarkStart w:id="404" w:name="_Toc296347222"/>
      <w:bookmarkStart w:id="405" w:name="_Toc312678056"/>
      <w:bookmarkStart w:id="406" w:name="_Toc292559933"/>
      <w:bookmarkStart w:id="407" w:name="_Toc296891051"/>
      <w:bookmarkStart w:id="408" w:name="_Toc297048409"/>
      <w:bookmarkStart w:id="409" w:name="_Toc296346724"/>
      <w:bookmarkStart w:id="410" w:name="_Toc304295596"/>
      <w:bookmarkStart w:id="411" w:name="_Toc303539173"/>
      <w:bookmarkStart w:id="412" w:name="_Toc300935016"/>
      <w:bookmarkStart w:id="413" w:name="_Toc292559428"/>
      <w:bookmarkStart w:id="414" w:name="_Toc296891263"/>
      <w:bookmarkStart w:id="415" w:name="_Toc297123565"/>
      <w:bookmarkStart w:id="416" w:name="_Toc267251475"/>
      <w:bookmarkStart w:id="417" w:name="_Toc267251471"/>
      <w:bookmarkStart w:id="418" w:name="_Toc267251473"/>
      <w:bookmarkStart w:id="419" w:name="_Toc267251472"/>
      <w:bookmarkStart w:id="420" w:name="_Toc267251474"/>
      <w:bookmarkStart w:id="421" w:name="_Toc267251470"/>
      <w:bookmarkStart w:id="422" w:name="_Toc267251476"/>
      <w:r>
        <w:rPr>
          <w:rFonts w:hint="eastAsia" w:ascii="宋体" w:hAnsi="宋体" w:eastAsia="宋体" w:cs="宋体"/>
          <w:color w:val="auto"/>
          <w:sz w:val="24"/>
          <w:szCs w:val="24"/>
          <w:highlight w:val="none"/>
        </w:rPr>
        <w:t>13.2 竣工验收</w:t>
      </w:r>
    </w:p>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14:paraId="5044D057">
      <w:pPr>
        <w:spacing w:line="360" w:lineRule="auto"/>
        <w:ind w:firstLine="480" w:firstLineChars="200"/>
        <w:outlineLvl w:val="9"/>
        <w:rPr>
          <w:rFonts w:hint="eastAsia" w:ascii="宋体" w:hAnsi="宋体" w:eastAsia="宋体" w:cs="宋体"/>
          <w:color w:val="auto"/>
          <w:sz w:val="24"/>
          <w:szCs w:val="24"/>
          <w:highlight w:val="none"/>
        </w:rPr>
      </w:pPr>
      <w:bookmarkStart w:id="423" w:name="_Toc280868704"/>
      <w:bookmarkStart w:id="424" w:name="_Toc280868705"/>
      <w:bookmarkStart w:id="425" w:name="_Toc280868706"/>
      <w:bookmarkStart w:id="426" w:name="_Toc280868707"/>
      <w:bookmarkStart w:id="427" w:name="_Toc280868708"/>
      <w:bookmarkStart w:id="428" w:name="_Toc280868709"/>
      <w:r>
        <w:rPr>
          <w:rFonts w:hint="eastAsia" w:ascii="宋体" w:hAnsi="宋体" w:eastAsia="宋体" w:cs="宋体"/>
          <w:color w:val="auto"/>
          <w:sz w:val="24"/>
          <w:szCs w:val="24"/>
          <w:highlight w:val="none"/>
        </w:rPr>
        <w:t>13.2.2竣工验收程序</w:t>
      </w:r>
    </w:p>
    <w:bookmarkEnd w:id="423"/>
    <w:p w14:paraId="7948CBE9">
      <w:pPr>
        <w:spacing w:line="360" w:lineRule="auto"/>
        <w:ind w:firstLine="480" w:firstLineChars="200"/>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lang w:val="en-US" w:eastAsia="zh-CN"/>
        </w:rPr>
        <w:t>13.2.2.1</w:t>
      </w:r>
      <w:r>
        <w:rPr>
          <w:rFonts w:hint="eastAsia" w:ascii="宋体" w:hAnsi="宋体" w:eastAsia="宋体" w:cs="宋体"/>
          <w:color w:val="auto"/>
          <w:kern w:val="0"/>
          <w:sz w:val="24"/>
          <w:szCs w:val="24"/>
          <w:highlight w:val="none"/>
        </w:rPr>
        <w:t xml:space="preserve">发包人关于竣工验收程序的约定： </w:t>
      </w:r>
      <w:r>
        <w:rPr>
          <w:rFonts w:hint="eastAsia" w:ascii="宋体" w:hAnsi="宋体" w:eastAsia="宋体" w:cs="宋体"/>
          <w:color w:val="auto"/>
          <w:kern w:val="0"/>
          <w:sz w:val="24"/>
          <w:szCs w:val="24"/>
          <w:highlight w:val="none"/>
          <w:u w:val="single"/>
        </w:rPr>
        <w:t xml:space="preserve">工程具备竣工验收条件，承包人按国家工程竣工有关规定，向发包人提供完整竣工资料四份（均为原件）和竣工验收报告。承包人在发包人竣工验收批准后28天内向发包人提交竣工图四份。竣工图纸必须将所有的变更标注到图纸上，竣工图纸变更反映不全面或不真实的，发包人不予受理。其它内容不清晰的，以不利于承包人的情况进行结算。还应完成提供符合档案馆标准要求的电子档案录入扫描工作 </w:t>
      </w:r>
      <w:r>
        <w:rPr>
          <w:rFonts w:hint="eastAsia" w:ascii="宋体" w:hAnsi="宋体" w:eastAsia="宋体" w:cs="宋体"/>
          <w:color w:val="auto"/>
          <w:kern w:val="0"/>
          <w:sz w:val="24"/>
          <w:szCs w:val="24"/>
          <w:highlight w:val="none"/>
          <w:u w:val="none"/>
        </w:rPr>
        <w:t xml:space="preserve"> 。    </w:t>
      </w:r>
    </w:p>
    <w:p w14:paraId="2DA9D2BD">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rPr>
        <w:t>13.2.2.2</w:t>
      </w:r>
      <w:r>
        <w:rPr>
          <w:rFonts w:hint="eastAsia" w:ascii="宋体" w:hAnsi="宋体" w:eastAsia="宋体" w:cs="宋体"/>
          <w:color w:val="auto"/>
          <w:kern w:val="0"/>
          <w:sz w:val="24"/>
          <w:szCs w:val="24"/>
          <w:highlight w:val="none"/>
        </w:rPr>
        <w:t>不按照本项约定组织竣工验收、颁发工程接收证书的违约金的计算方法：</w:t>
      </w:r>
      <w:r>
        <w:rPr>
          <w:rFonts w:hint="eastAsia" w:ascii="宋体" w:hAnsi="宋体" w:eastAsia="宋体" w:cs="宋体"/>
          <w:color w:val="auto"/>
          <w:sz w:val="24"/>
          <w:szCs w:val="24"/>
          <w:highlight w:val="none"/>
          <w:u w:val="single"/>
        </w:rPr>
        <w:t>执行通用合同条款</w:t>
      </w:r>
      <w:r>
        <w:rPr>
          <w:rFonts w:hint="eastAsia" w:ascii="宋体" w:hAnsi="宋体" w:eastAsia="宋体" w:cs="宋体"/>
          <w:color w:val="auto"/>
          <w:sz w:val="24"/>
          <w:szCs w:val="24"/>
          <w:highlight w:val="none"/>
        </w:rPr>
        <w:t>。</w:t>
      </w:r>
    </w:p>
    <w:bookmarkEnd w:id="424"/>
    <w:p w14:paraId="1D3F38D0">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13.2.5移交、接收全部与部分工程</w:t>
      </w:r>
    </w:p>
    <w:bookmarkEnd w:id="425"/>
    <w:p w14:paraId="3B8D1C7F">
      <w:pPr>
        <w:spacing w:line="360" w:lineRule="auto"/>
        <w:ind w:firstLine="480" w:firstLineChars="200"/>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sz w:val="24"/>
          <w:szCs w:val="24"/>
          <w:highlight w:val="none"/>
          <w:u w:val="single"/>
        </w:rPr>
        <w:t>执行通用合同条款</w:t>
      </w:r>
      <w:r>
        <w:rPr>
          <w:rFonts w:hint="eastAsia" w:ascii="宋体" w:hAnsi="宋体" w:eastAsia="宋体" w:cs="宋体"/>
          <w:color w:val="auto"/>
          <w:sz w:val="24"/>
          <w:szCs w:val="24"/>
          <w:highlight w:val="none"/>
        </w:rPr>
        <w:t>。</w:t>
      </w:r>
    </w:p>
    <w:p w14:paraId="03CC7A47">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执行通用合同条款</w:t>
      </w:r>
      <w:r>
        <w:rPr>
          <w:rFonts w:hint="eastAsia" w:ascii="宋体" w:hAnsi="宋体" w:eastAsia="宋体" w:cs="宋体"/>
          <w:color w:val="auto"/>
          <w:sz w:val="24"/>
          <w:szCs w:val="24"/>
          <w:highlight w:val="none"/>
        </w:rPr>
        <w:t>。</w:t>
      </w:r>
      <w:bookmarkEnd w:id="426"/>
    </w:p>
    <w:p w14:paraId="703E3C9B">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执行通用合同条款</w:t>
      </w:r>
      <w:r>
        <w:rPr>
          <w:rFonts w:hint="eastAsia" w:ascii="宋体" w:hAnsi="宋体" w:eastAsia="宋体" w:cs="宋体"/>
          <w:color w:val="auto"/>
          <w:sz w:val="24"/>
          <w:szCs w:val="24"/>
          <w:highlight w:val="none"/>
        </w:rPr>
        <w:t>。</w:t>
      </w:r>
    </w:p>
    <w:bookmarkEnd w:id="427"/>
    <w:p w14:paraId="4592E155">
      <w:pPr>
        <w:numPr>
          <w:ilvl w:val="3"/>
          <w:numId w:val="1"/>
        </w:numPr>
        <w:spacing w:before="0" w:after="0" w:line="360" w:lineRule="auto"/>
        <w:outlineLvl w:val="9"/>
        <w:rPr>
          <w:rFonts w:hint="eastAsia" w:ascii="宋体" w:hAnsi="宋体" w:eastAsia="宋体" w:cs="宋体"/>
          <w:b w:val="0"/>
          <w:color w:val="auto"/>
          <w:sz w:val="24"/>
          <w:szCs w:val="24"/>
          <w:highlight w:val="none"/>
        </w:rPr>
      </w:pPr>
      <w:bookmarkStart w:id="429" w:name="_Toc351203646"/>
      <w:r>
        <w:rPr>
          <w:rFonts w:hint="eastAsia" w:ascii="宋体" w:hAnsi="宋体" w:eastAsia="宋体" w:cs="宋体"/>
          <w:b w:val="0"/>
          <w:color w:val="auto"/>
          <w:sz w:val="24"/>
          <w:szCs w:val="24"/>
          <w:highlight w:val="none"/>
        </w:rPr>
        <w:t>14. 竣工结算</w:t>
      </w:r>
      <w:bookmarkEnd w:id="429"/>
    </w:p>
    <w:p w14:paraId="179A2B67">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竣工结算申请</w:t>
      </w:r>
    </w:p>
    <w:p w14:paraId="528FF836">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承包人提交竣工结算申请单的期限</w:t>
      </w:r>
      <w:r>
        <w:rPr>
          <w:rFonts w:hint="eastAsia" w:ascii="宋体" w:hAnsi="宋体" w:eastAsia="宋体" w:cs="宋体"/>
          <w:color w:val="auto"/>
          <w:sz w:val="24"/>
          <w:szCs w:val="24"/>
          <w:highlight w:val="none"/>
          <w:u w:val="single"/>
        </w:rPr>
        <w:t>工程项目通过正式竣工验收并达到合同约定的质量标准，已取得《竣工验收证书》或已通过验收并经相关部门确认；且全部竣工技术资料已按要求办理了相关备案，移交手续后28天内承包人提交竣工结算申请单及完整的竣工结算资料两套。</w:t>
      </w:r>
    </w:p>
    <w:p w14:paraId="5ACFEB58">
      <w:pPr>
        <w:autoSpaceDE w:val="0"/>
        <w:autoSpaceDN w:val="0"/>
        <w:spacing w:line="360" w:lineRule="auto"/>
        <w:ind w:firstLine="42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竣工结算申请单应包括的内容：</w:t>
      </w:r>
    </w:p>
    <w:p w14:paraId="13E4B49F">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（1）竣工结算合同价格；</w:t>
      </w:r>
    </w:p>
    <w:p w14:paraId="684F997C">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（2）发包人已支付承包人的款项；</w:t>
      </w:r>
    </w:p>
    <w:p w14:paraId="70E3460D">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（3）应扣留的质量保证金。已缴纳履约保证金的或提供其他工程质量担保方式的除外； </w:t>
      </w:r>
    </w:p>
    <w:p w14:paraId="2061B998">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（4）发包人应支付承包人的合同价款。</w:t>
      </w:r>
    </w:p>
    <w:p w14:paraId="33B58A40">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（5）是否全部完成合同内容，如有甩项（或增加范围）请如实说明。</w:t>
      </w:r>
    </w:p>
    <w:p w14:paraId="29228075">
      <w:pPr>
        <w:spacing w:line="360" w:lineRule="auto"/>
        <w:ind w:firstLine="480" w:firstLineChars="200"/>
        <w:outlineLvl w:val="9"/>
        <w:rPr>
          <w:rFonts w:hint="eastAsia" w:ascii="宋体" w:hAnsi="宋体" w:eastAsia="宋体" w:cs="宋体"/>
          <w:color w:val="auto"/>
          <w:sz w:val="24"/>
          <w:szCs w:val="24"/>
          <w:highlight w:val="none"/>
        </w:rPr>
      </w:pPr>
      <w:bookmarkStart w:id="430" w:name="_Toc508703902"/>
      <w:bookmarkStart w:id="431" w:name="_Toc884"/>
      <w:bookmarkStart w:id="432" w:name="_Toc510449980"/>
      <w:bookmarkStart w:id="433" w:name="_Toc508702744"/>
      <w:bookmarkStart w:id="434" w:name="_Toc7323"/>
      <w:bookmarkStart w:id="435" w:name="_Toc19421"/>
      <w:r>
        <w:rPr>
          <w:rFonts w:hint="eastAsia" w:ascii="宋体" w:hAnsi="宋体" w:eastAsia="宋体" w:cs="宋体"/>
          <w:color w:val="auto"/>
          <w:sz w:val="24"/>
          <w:szCs w:val="24"/>
          <w:highlight w:val="none"/>
        </w:rPr>
        <w:t>14.2 竣工结算审核</w:t>
      </w:r>
      <w:bookmarkEnd w:id="430"/>
      <w:bookmarkEnd w:id="431"/>
      <w:bookmarkEnd w:id="432"/>
      <w:bookmarkEnd w:id="433"/>
      <w:bookmarkEnd w:id="434"/>
      <w:bookmarkEnd w:id="435"/>
    </w:p>
    <w:p w14:paraId="56F0F937">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rPr>
        <w:t>送审造价在500万元以下的项目：从接到完整的竣工结算资料次日起20日内；送审造价在500万元～2000万元的项目：从接到完整的竣工结算资料次日起30日内；送审造价在2000万元～5000万元的项目：从接到完整的竣工结算资料次日起45日内；送审造价在5000万元以上的项目：从接到完整的竣工结算资料次日起60日内。建设项目竣工总结算在最后一个单项工程竣工结算审查确认后15天内汇总，送发包人后30天内审查确认完成。</w:t>
      </w:r>
    </w:p>
    <w:p w14:paraId="266740E2">
      <w:pPr>
        <w:spacing w:line="360" w:lineRule="auto"/>
        <w:ind w:firstLine="480" w:firstLineChars="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发包人委托的第三方造价审核机构出具正式结算报告后1个月内 。</w:t>
      </w:r>
    </w:p>
    <w:p w14:paraId="7BD26A16">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由发包人委托的第三方造价审核机构进行复核</w:t>
      </w:r>
      <w:r>
        <w:rPr>
          <w:rFonts w:hint="eastAsia" w:ascii="宋体" w:hAnsi="宋体" w:eastAsia="宋体" w:cs="宋体"/>
          <w:color w:val="auto"/>
          <w:sz w:val="24"/>
          <w:szCs w:val="24"/>
          <w:highlight w:val="none"/>
        </w:rPr>
        <w:t>。</w:t>
      </w:r>
    </w:p>
    <w:p w14:paraId="1F2ED53D">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5FA26300">
      <w:pPr>
        <w:spacing w:line="360" w:lineRule="auto"/>
        <w:ind w:firstLine="480" w:firstLineChars="200"/>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14.4.1 最终结清申请单</w:t>
      </w:r>
    </w:p>
    <w:p w14:paraId="4C99CC2F">
      <w:pPr>
        <w:spacing w:line="360" w:lineRule="auto"/>
        <w:ind w:firstLine="480" w:firstLineChars="200"/>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sz w:val="24"/>
          <w:szCs w:val="24"/>
          <w:u w:val="single"/>
        </w:rPr>
        <w:t xml:space="preserve">3份 </w:t>
      </w:r>
      <w:r>
        <w:rPr>
          <w:rFonts w:hint="eastAsia" w:ascii="宋体" w:hAnsi="宋体" w:eastAsia="宋体" w:cs="宋体"/>
          <w:color w:val="auto"/>
          <w:sz w:val="24"/>
          <w:szCs w:val="24"/>
          <w:highlight w:val="none"/>
        </w:rPr>
        <w:t>。</w:t>
      </w:r>
    </w:p>
    <w:p w14:paraId="751B2D03">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sz w:val="24"/>
          <w:szCs w:val="24"/>
          <w:u w:val="single"/>
        </w:rPr>
        <w:t xml:space="preserve">在缺陷责任期终止证书颁发后10天内 </w:t>
      </w:r>
      <w:r>
        <w:rPr>
          <w:rFonts w:hint="eastAsia" w:ascii="宋体" w:hAnsi="宋体" w:eastAsia="宋体" w:cs="宋体"/>
          <w:color w:val="auto"/>
          <w:sz w:val="24"/>
          <w:szCs w:val="24"/>
          <w:highlight w:val="none"/>
        </w:rPr>
        <w:t xml:space="preserve">。 </w:t>
      </w:r>
    </w:p>
    <w:p w14:paraId="13BF59F1">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7859F17D">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执行通用合同条款</w:t>
      </w:r>
      <w:r>
        <w:rPr>
          <w:rFonts w:hint="eastAsia" w:ascii="宋体" w:hAnsi="宋体" w:eastAsia="宋体" w:cs="宋体"/>
          <w:color w:val="auto"/>
          <w:sz w:val="24"/>
          <w:szCs w:val="24"/>
          <w:highlight w:val="none"/>
        </w:rPr>
        <w:t>。</w:t>
      </w:r>
    </w:p>
    <w:p w14:paraId="276EF427">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执行通用合同条款。</w:t>
      </w:r>
    </w:p>
    <w:bookmarkEnd w:id="416"/>
    <w:bookmarkEnd w:id="417"/>
    <w:bookmarkEnd w:id="418"/>
    <w:bookmarkEnd w:id="419"/>
    <w:bookmarkEnd w:id="420"/>
    <w:bookmarkEnd w:id="421"/>
    <w:bookmarkEnd w:id="422"/>
    <w:bookmarkEnd w:id="428"/>
    <w:p w14:paraId="4DEE6189">
      <w:pPr>
        <w:numPr>
          <w:ilvl w:val="3"/>
          <w:numId w:val="1"/>
        </w:numPr>
        <w:spacing w:before="0" w:after="0" w:line="360" w:lineRule="auto"/>
        <w:outlineLvl w:val="9"/>
        <w:rPr>
          <w:rFonts w:hint="eastAsia" w:ascii="宋体" w:hAnsi="宋体" w:eastAsia="宋体" w:cs="宋体"/>
          <w:b w:val="0"/>
          <w:color w:val="auto"/>
          <w:sz w:val="24"/>
          <w:szCs w:val="24"/>
          <w:highlight w:val="none"/>
        </w:rPr>
      </w:pPr>
      <w:bookmarkStart w:id="436" w:name="_Toc351203647"/>
      <w:bookmarkStart w:id="437" w:name="_Toc267251483"/>
      <w:bookmarkStart w:id="438" w:name="_Toc267251482"/>
      <w:bookmarkStart w:id="439" w:name="_Toc267251484"/>
      <w:bookmarkStart w:id="440" w:name="_Toc267251485"/>
      <w:bookmarkStart w:id="441" w:name="_Toc267251490"/>
      <w:bookmarkStart w:id="442" w:name="_Toc267251486"/>
      <w:bookmarkStart w:id="443" w:name="_Toc267251489"/>
      <w:bookmarkStart w:id="444" w:name="_Toc267251488"/>
      <w:bookmarkStart w:id="445" w:name="_Toc267251495"/>
      <w:bookmarkStart w:id="446" w:name="_Toc267251499"/>
      <w:bookmarkStart w:id="447" w:name="_Toc267251496"/>
      <w:bookmarkStart w:id="448" w:name="_Toc267251503"/>
      <w:bookmarkStart w:id="449" w:name="_Toc267251491"/>
      <w:bookmarkStart w:id="450" w:name="_Toc267251497"/>
      <w:bookmarkStart w:id="451" w:name="_Toc267251493"/>
      <w:bookmarkStart w:id="452" w:name="_Toc267251502"/>
      <w:bookmarkStart w:id="453" w:name="_Toc267251492"/>
      <w:bookmarkStart w:id="454" w:name="_Toc267251501"/>
      <w:bookmarkStart w:id="455" w:name="_Toc267251494"/>
      <w:bookmarkStart w:id="456" w:name="_Toc267251498"/>
      <w:bookmarkStart w:id="457" w:name="_Toc267251506"/>
      <w:bookmarkStart w:id="458" w:name="_Toc267251504"/>
      <w:bookmarkStart w:id="459" w:name="_Toc267251507"/>
      <w:bookmarkStart w:id="460" w:name="_Toc267251508"/>
      <w:bookmarkStart w:id="461" w:name="_Toc267251511"/>
      <w:bookmarkStart w:id="462" w:name="_Toc267251509"/>
      <w:bookmarkStart w:id="463" w:name="_Toc267251510"/>
      <w:bookmarkStart w:id="464" w:name="_Toc267251515"/>
      <w:bookmarkStart w:id="465" w:name="_Toc267251513"/>
      <w:bookmarkStart w:id="466" w:name="_Toc267251514"/>
      <w:r>
        <w:rPr>
          <w:rFonts w:hint="eastAsia" w:ascii="宋体" w:hAnsi="宋体" w:eastAsia="宋体" w:cs="宋体"/>
          <w:b w:val="0"/>
          <w:color w:val="auto"/>
          <w:sz w:val="24"/>
          <w:szCs w:val="24"/>
          <w:highlight w:val="none"/>
        </w:rPr>
        <w:t>15. 缺陷责任期与保修</w:t>
      </w:r>
      <w:bookmarkEnd w:id="436"/>
    </w:p>
    <w:p w14:paraId="39E2DB5E">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437"/>
    </w:p>
    <w:p w14:paraId="511C7AD8">
      <w:pPr>
        <w:spacing w:line="360" w:lineRule="auto"/>
        <w:ind w:firstLine="480" w:firstLineChars="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本项目缺陷责任期为</w:t>
      </w:r>
      <w:r>
        <w:rPr>
          <w:rFonts w:hint="eastAsia" w:ascii="宋体" w:hAnsi="宋体" w:cs="宋体"/>
          <w:color w:val="auto"/>
          <w:sz w:val="24"/>
          <w:szCs w:val="24"/>
          <w:highlight w:val="none"/>
          <w:u w:val="single"/>
          <w:lang w:val="en-US" w:eastAsia="zh-CN"/>
        </w:rPr>
        <w:t>1年</w:t>
      </w:r>
      <w:r>
        <w:rPr>
          <w:rFonts w:hint="eastAsia" w:ascii="宋体" w:hAnsi="宋体" w:eastAsia="宋体" w:cs="宋体"/>
          <w:color w:val="auto"/>
          <w:sz w:val="24"/>
          <w:szCs w:val="24"/>
          <w:highlight w:val="none"/>
          <w:u w:val="single"/>
        </w:rPr>
        <w:t>，自工程竣工之日起算</w:t>
      </w:r>
      <w:r>
        <w:rPr>
          <w:rFonts w:hint="eastAsia" w:ascii="宋体" w:hAnsi="宋体" w:eastAsia="宋体" w:cs="宋体"/>
          <w:color w:val="auto"/>
          <w:sz w:val="24"/>
          <w:szCs w:val="24"/>
          <w:highlight w:val="none"/>
          <w:u w:val="none"/>
        </w:rPr>
        <w:t>。</w:t>
      </w:r>
    </w:p>
    <w:p w14:paraId="1EFF5222">
      <w:pPr>
        <w:keepNext/>
        <w:spacing w:line="360" w:lineRule="auto"/>
        <w:ind w:firstLine="480" w:firstLineChars="200"/>
        <w:outlineLvl w:val="9"/>
        <w:rPr>
          <w:rFonts w:hint="eastAsia" w:ascii="宋体" w:hAnsi="宋体" w:eastAsia="宋体" w:cs="宋体"/>
          <w:color w:val="auto"/>
          <w:sz w:val="24"/>
          <w:szCs w:val="24"/>
          <w:highlight w:val="none"/>
        </w:rPr>
      </w:pPr>
      <w:bookmarkStart w:id="467" w:name="_Toc508702745"/>
      <w:bookmarkStart w:id="468" w:name="_Toc3023"/>
      <w:bookmarkStart w:id="469" w:name="_Toc508703903"/>
      <w:bookmarkStart w:id="470" w:name="_Toc24319"/>
      <w:bookmarkStart w:id="471" w:name="_Toc510449981"/>
      <w:bookmarkStart w:id="472" w:name="_Toc31725"/>
      <w:r>
        <w:rPr>
          <w:rFonts w:hint="eastAsia" w:ascii="宋体" w:hAnsi="宋体" w:eastAsia="宋体" w:cs="宋体"/>
          <w:color w:val="auto"/>
          <w:sz w:val="24"/>
          <w:szCs w:val="24"/>
          <w:highlight w:val="none"/>
        </w:rPr>
        <w:t>15.3 质量保证金</w:t>
      </w:r>
      <w:bookmarkEnd w:id="467"/>
      <w:bookmarkEnd w:id="468"/>
      <w:bookmarkEnd w:id="469"/>
      <w:bookmarkEnd w:id="470"/>
      <w:bookmarkEnd w:id="471"/>
      <w:bookmarkEnd w:id="472"/>
    </w:p>
    <w:p w14:paraId="6B1C9E90">
      <w:pPr>
        <w:spacing w:line="360" w:lineRule="auto"/>
        <w:ind w:firstLine="480" w:firstLineChars="200"/>
        <w:outlineLvl w:val="9"/>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无</w:t>
      </w:r>
    </w:p>
    <w:bookmarkEnd w:id="438"/>
    <w:bookmarkEnd w:id="439"/>
    <w:p w14:paraId="1560DA7D">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440"/>
    <w:p w14:paraId="621BE473">
      <w:pPr>
        <w:spacing w:line="360" w:lineRule="auto"/>
        <w:ind w:firstLine="468" w:firstLineChars="195"/>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15B499C8">
      <w:pPr>
        <w:spacing w:line="360" w:lineRule="auto"/>
        <w:ind w:firstLine="480" w:firstLineChars="200"/>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cs="宋体"/>
          <w:color w:val="auto"/>
          <w:sz w:val="24"/>
          <w:szCs w:val="24"/>
          <w:highlight w:val="none"/>
          <w:u w:val="single"/>
          <w:lang w:val="en-US" w:eastAsia="zh-CN"/>
        </w:rPr>
        <w:t>自验收合格之日起1年</w:t>
      </w:r>
      <w:r>
        <w:rPr>
          <w:rFonts w:hint="eastAsia" w:ascii="宋体" w:hAnsi="宋体" w:eastAsia="宋体" w:cs="宋体"/>
          <w:color w:val="auto"/>
          <w:kern w:val="0"/>
          <w:sz w:val="24"/>
          <w:szCs w:val="24"/>
          <w:highlight w:val="none"/>
        </w:rPr>
        <w:t>。</w:t>
      </w:r>
    </w:p>
    <w:bookmarkEnd w:id="441"/>
    <w:bookmarkEnd w:id="442"/>
    <w:bookmarkEnd w:id="443"/>
    <w:bookmarkEnd w:id="444"/>
    <w:p w14:paraId="4A36D61C">
      <w:pPr>
        <w:numPr>
          <w:ilvl w:val="3"/>
          <w:numId w:val="1"/>
        </w:numPr>
        <w:spacing w:before="0" w:after="0" w:line="360" w:lineRule="auto"/>
        <w:outlineLvl w:val="9"/>
        <w:rPr>
          <w:rFonts w:hint="eastAsia" w:ascii="宋体" w:hAnsi="宋体" w:eastAsia="宋体" w:cs="宋体"/>
          <w:b w:val="0"/>
          <w:color w:val="auto"/>
          <w:sz w:val="24"/>
          <w:szCs w:val="24"/>
          <w:highlight w:val="none"/>
        </w:rPr>
      </w:pPr>
      <w:bookmarkStart w:id="473" w:name="_Toc351203648"/>
      <w:bookmarkStart w:id="474" w:name="_Toc280868717"/>
      <w:bookmarkStart w:id="475" w:name="_Toc280868718"/>
      <w:r>
        <w:rPr>
          <w:rFonts w:hint="eastAsia" w:ascii="宋体" w:hAnsi="宋体" w:eastAsia="宋体" w:cs="宋体"/>
          <w:b w:val="0"/>
          <w:color w:val="auto"/>
          <w:sz w:val="24"/>
          <w:szCs w:val="24"/>
          <w:highlight w:val="none"/>
        </w:rPr>
        <w:t>15.4.3 修复通知</w:t>
      </w:r>
    </w:p>
    <w:p w14:paraId="2856A2AA">
      <w:pPr>
        <w:numPr>
          <w:ilvl w:val="3"/>
          <w:numId w:val="1"/>
        </w:numPr>
        <w:spacing w:before="0" w:after="0" w:line="360" w:lineRule="auto"/>
        <w:outlineLvl w:val="9"/>
        <w:rPr>
          <w:rFonts w:hint="eastAsia" w:ascii="宋体" w:hAnsi="宋体" w:eastAsia="宋体" w:cs="宋体"/>
          <w:b w:val="0"/>
          <w:color w:val="auto"/>
          <w:sz w:val="24"/>
          <w:szCs w:val="24"/>
          <w:highlight w:val="none"/>
          <w:u w:val="single"/>
        </w:rPr>
      </w:pPr>
      <w:r>
        <w:rPr>
          <w:rFonts w:hint="eastAsia" w:ascii="宋体" w:hAnsi="宋体" w:eastAsia="宋体" w:cs="宋体"/>
          <w:b w:val="0"/>
          <w:color w:val="auto"/>
          <w:sz w:val="24"/>
          <w:szCs w:val="24"/>
          <w:highlight w:val="none"/>
          <w:lang w:val="en-US" w:eastAsia="zh-CN"/>
        </w:rPr>
        <w:t xml:space="preserve">   </w:t>
      </w:r>
      <w:r>
        <w:rPr>
          <w:rFonts w:hint="eastAsia" w:ascii="宋体" w:hAnsi="宋体" w:eastAsia="宋体" w:cs="宋体"/>
          <w:b w:val="0"/>
          <w:color w:val="auto"/>
          <w:sz w:val="24"/>
          <w:szCs w:val="24"/>
          <w:highlight w:val="none"/>
        </w:rPr>
        <w:t>承包人收到保修通知并到达工程现场的合理时间：</w:t>
      </w:r>
      <w:r>
        <w:rPr>
          <w:rFonts w:hint="eastAsia" w:ascii="宋体" w:hAnsi="宋体" w:eastAsia="宋体" w:cs="宋体"/>
          <w:b w:val="0"/>
          <w:color w:val="auto"/>
          <w:sz w:val="24"/>
          <w:szCs w:val="24"/>
          <w:highlight w:val="none"/>
          <w:u w:val="single"/>
        </w:rPr>
        <w:t>响应时间为正常工作日二小时内答复，十二小时内到现场处理。节假日及法定休息日六小时内答复，二十四小时内到现场处理</w:t>
      </w:r>
      <w:r>
        <w:rPr>
          <w:rFonts w:hint="eastAsia" w:ascii="宋体" w:hAnsi="宋体" w:eastAsia="宋体" w:cs="宋体"/>
          <w:b w:val="0"/>
          <w:color w:val="auto"/>
          <w:sz w:val="24"/>
          <w:szCs w:val="24"/>
          <w:highlight w:val="none"/>
          <w:u w:val="none"/>
        </w:rPr>
        <w:t>。</w:t>
      </w:r>
    </w:p>
    <w:p w14:paraId="24B60381">
      <w:pPr>
        <w:numPr>
          <w:ilvl w:val="3"/>
          <w:numId w:val="1"/>
        </w:numPr>
        <w:spacing w:before="0" w:after="0" w:line="360" w:lineRule="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16. 违约</w:t>
      </w:r>
      <w:bookmarkEnd w:id="473"/>
    </w:p>
    <w:p w14:paraId="24B5B14A">
      <w:pPr>
        <w:spacing w:line="360" w:lineRule="auto"/>
        <w:ind w:firstLine="480" w:firstLineChars="200"/>
        <w:outlineLvl w:val="9"/>
        <w:rPr>
          <w:rFonts w:hint="eastAsia" w:ascii="宋体" w:hAnsi="宋体" w:eastAsia="宋体" w:cs="宋体"/>
          <w:color w:val="auto"/>
          <w:sz w:val="24"/>
          <w:szCs w:val="24"/>
          <w:highlight w:val="none"/>
        </w:rPr>
      </w:pPr>
      <w:bookmarkStart w:id="476" w:name="_Toc12262"/>
      <w:bookmarkStart w:id="477" w:name="_Toc508703907"/>
      <w:bookmarkStart w:id="478" w:name="_Toc27418"/>
      <w:bookmarkStart w:id="479" w:name="_Toc508702749"/>
      <w:bookmarkStart w:id="480" w:name="_Toc510449985"/>
      <w:bookmarkStart w:id="481" w:name="_Toc27121"/>
      <w:r>
        <w:rPr>
          <w:rFonts w:hint="eastAsia" w:ascii="宋体" w:hAnsi="宋体" w:eastAsia="宋体" w:cs="宋体"/>
          <w:color w:val="auto"/>
          <w:sz w:val="24"/>
          <w:szCs w:val="24"/>
          <w:highlight w:val="none"/>
        </w:rPr>
        <w:t>16.1 发包人违约</w:t>
      </w:r>
      <w:bookmarkEnd w:id="476"/>
      <w:bookmarkEnd w:id="477"/>
      <w:bookmarkEnd w:id="478"/>
      <w:bookmarkEnd w:id="479"/>
      <w:bookmarkEnd w:id="480"/>
      <w:bookmarkEnd w:id="481"/>
    </w:p>
    <w:p w14:paraId="09B4EB65">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16F614AD">
      <w:pPr>
        <w:spacing w:line="360" w:lineRule="auto"/>
        <w:ind w:firstLine="480" w:firstLineChars="200"/>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u w:val="single"/>
        </w:rPr>
        <w:t>1）发包人不按时支付工程款；</w:t>
      </w:r>
    </w:p>
    <w:p w14:paraId="2BEC9435">
      <w:pPr>
        <w:spacing w:line="360" w:lineRule="auto"/>
        <w:ind w:firstLine="480" w:firstLineChars="200"/>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（2）发包人不按合同约定支付工程款，导致施工无法进行；</w:t>
      </w:r>
    </w:p>
    <w:p w14:paraId="7E381EFF">
      <w:pPr>
        <w:spacing w:line="360" w:lineRule="auto"/>
        <w:ind w:firstLine="480" w:firstLineChars="200"/>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（3）发包人无正当理由不支付工程竣工结算价款；</w:t>
      </w:r>
    </w:p>
    <w:p w14:paraId="7F994DA2">
      <w:pPr>
        <w:spacing w:line="360" w:lineRule="auto"/>
        <w:ind w:firstLine="480" w:firstLineChars="200"/>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（4）发包人不履行合同义务或不按合同约定履行义务的其他情况。</w:t>
      </w:r>
    </w:p>
    <w:p w14:paraId="083E7E1E">
      <w:pPr>
        <w:spacing w:line="360" w:lineRule="auto"/>
        <w:ind w:left="1200" w:hanging="1200" w:hangingChars="500"/>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16.1.2 发包人违约的责任</w:t>
      </w:r>
    </w:p>
    <w:p w14:paraId="4D7BF6D6">
      <w:pPr>
        <w:spacing w:line="360" w:lineRule="auto"/>
        <w:ind w:firstLine="480" w:firstLineChars="200"/>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5B0A3AE0">
      <w:pPr>
        <w:spacing w:line="360" w:lineRule="auto"/>
        <w:ind w:firstLine="480" w:firstLineChars="200"/>
        <w:jc w:val="left"/>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BB028D5">
      <w:pPr>
        <w:spacing w:line="360" w:lineRule="auto"/>
        <w:ind w:firstLine="480" w:firstLineChars="200"/>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8CC83C1">
      <w:pPr>
        <w:spacing w:line="360" w:lineRule="auto"/>
        <w:ind w:firstLine="480" w:firstLineChars="200"/>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754564E">
      <w:pPr>
        <w:spacing w:line="360" w:lineRule="auto"/>
        <w:ind w:firstLine="480" w:firstLineChars="200"/>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4"/>
          <w:szCs w:val="24"/>
          <w:highlight w:val="none"/>
          <w:u w:val="single"/>
        </w:rPr>
        <w:t xml:space="preserve"> 发包人提供的材料、工程设备的规格或质量不符合合同约定的，由发包人负责更换；发包人提供的材料、工程设备的数量不符合合同约定的，数量不足的由发包人在双方约定时间内补齐，数量超出的，由承包人退回发包人；因发包人原因导致交货日期延误，若影响工期的发包人予以顺延工期；因发包人原因导致交货地点变更等情况的，由发包人负责倒运或发包人委托承包人倒运，费用发包人承担。</w:t>
      </w:r>
    </w:p>
    <w:p w14:paraId="4B8B850A">
      <w:pPr>
        <w:spacing w:line="360" w:lineRule="auto"/>
        <w:ind w:firstLine="480" w:firstLineChars="200"/>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kern w:val="0"/>
          <w:sz w:val="24"/>
          <w:szCs w:val="24"/>
          <w:highlight w:val="none"/>
          <w:u w:val="single"/>
        </w:rPr>
        <w:t xml:space="preserve">  若影响工期的，工期予以顺延 </w:t>
      </w:r>
      <w:r>
        <w:rPr>
          <w:rFonts w:hint="eastAsia" w:ascii="宋体" w:hAnsi="宋体" w:eastAsia="宋体" w:cs="宋体"/>
          <w:color w:val="auto"/>
          <w:kern w:val="0"/>
          <w:sz w:val="24"/>
          <w:szCs w:val="24"/>
          <w:highlight w:val="none"/>
        </w:rPr>
        <w:t>。</w:t>
      </w:r>
    </w:p>
    <w:p w14:paraId="776530AD">
      <w:pPr>
        <w:spacing w:line="360" w:lineRule="auto"/>
        <w:ind w:firstLine="480" w:firstLineChars="200"/>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kern w:val="0"/>
          <w:sz w:val="24"/>
          <w:szCs w:val="24"/>
          <w:highlight w:val="none"/>
          <w:u w:val="single"/>
        </w:rPr>
        <w:t xml:space="preserve"> 若影响工期的，工期予以顺延。</w:t>
      </w:r>
    </w:p>
    <w:p w14:paraId="1F051B7E">
      <w:pPr>
        <w:spacing w:line="360" w:lineRule="auto"/>
        <w:ind w:firstLine="480" w:firstLineChars="200"/>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C834F68">
      <w:pPr>
        <w:spacing w:line="360" w:lineRule="auto"/>
        <w:ind w:firstLine="480" w:firstLineChars="200"/>
        <w:outlineLvl w:val="9"/>
        <w:rPr>
          <w:rFonts w:hint="eastAsia" w:ascii="宋体" w:hAnsi="宋体" w:eastAsia="宋体" w:cs="宋体"/>
          <w:color w:val="auto"/>
          <w:sz w:val="24"/>
          <w:szCs w:val="24"/>
          <w:highlight w:val="none"/>
        </w:rPr>
      </w:pPr>
      <w:bookmarkStart w:id="482" w:name="_Toc7905"/>
      <w:bookmarkStart w:id="483" w:name="_Toc5246"/>
      <w:bookmarkStart w:id="484" w:name="_Toc508702750"/>
      <w:bookmarkStart w:id="485" w:name="_Toc18651"/>
      <w:bookmarkStart w:id="486" w:name="_Toc510449986"/>
      <w:bookmarkStart w:id="487" w:name="_Toc508703908"/>
      <w:r>
        <w:rPr>
          <w:rFonts w:hint="eastAsia" w:ascii="宋体" w:hAnsi="宋体" w:eastAsia="宋体" w:cs="宋体"/>
          <w:color w:val="auto"/>
          <w:sz w:val="24"/>
          <w:szCs w:val="24"/>
          <w:highlight w:val="none"/>
        </w:rPr>
        <w:t>16.2 承包人违约</w:t>
      </w:r>
      <w:bookmarkEnd w:id="482"/>
      <w:bookmarkEnd w:id="483"/>
      <w:bookmarkEnd w:id="484"/>
      <w:bookmarkEnd w:id="485"/>
      <w:bookmarkEnd w:id="486"/>
      <w:bookmarkEnd w:id="487"/>
    </w:p>
    <w:p w14:paraId="64EAC4D5">
      <w:pPr>
        <w:spacing w:line="360" w:lineRule="auto"/>
        <w:ind w:firstLine="480" w:firstLineChars="200"/>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16.2.1 承包人违约的情形</w:t>
      </w:r>
    </w:p>
    <w:p w14:paraId="4207A098">
      <w:pPr>
        <w:spacing w:line="360" w:lineRule="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承包人违约的其他情形：</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rPr>
        <w:t>1）因承包人原因不能按照施工合同约定的竣工日期或工程师同意顺延的工期竣工；</w:t>
      </w:r>
    </w:p>
    <w:p w14:paraId="3A387EF4">
      <w:pPr>
        <w:spacing w:line="360" w:lineRule="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（2）因承包人原因工程质量达不到施工合同约定的质量标准；</w:t>
      </w:r>
    </w:p>
    <w:p w14:paraId="4ECAC801">
      <w:pPr>
        <w:spacing w:line="360" w:lineRule="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（3）承包人不履行合同义务或不按合同约定履行义务的其他情况。</w:t>
      </w:r>
    </w:p>
    <w:p w14:paraId="0309A667">
      <w:pPr>
        <w:spacing w:line="360" w:lineRule="auto"/>
        <w:ind w:firstLine="480" w:firstLineChars="200"/>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1C16A2A2">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240" w:firstLineChars="1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w:t>
      </w:r>
      <w:r>
        <w:rPr>
          <w:rFonts w:hint="eastAsia" w:ascii="宋体" w:hAnsi="宋体" w:eastAsia="宋体" w:cs="宋体"/>
          <w:color w:val="auto"/>
          <w:kern w:val="0"/>
          <w:sz w:val="24"/>
          <w:szCs w:val="24"/>
          <w:highlight w:val="none"/>
          <w:u w:val="single"/>
        </w:rPr>
        <w:t>（1）建设过程中分部分项工程质量若达不到合格标准，承包人应按要求整改至合格（整改费用承包人自行承担），并承担1000/次的违约金。（2）确保现场劳务人员基本权益，保证劳务工资按月发放，若发生讨薪投诉事件，承包人承担5000元/次的违约金。</w:t>
      </w:r>
    </w:p>
    <w:p w14:paraId="3262A980">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240" w:firstLineChars="1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（3）工程建设过程中，承包人没有按照发包人要求进度实施工程建设的，发包人有权对承包人收取1000/天的违约金。（4）以上违约金应在承包人当期进度款中扣除。</w:t>
      </w:r>
    </w:p>
    <w:p w14:paraId="790DA9E5">
      <w:pPr>
        <w:spacing w:line="360" w:lineRule="auto"/>
        <w:ind w:firstLine="420"/>
        <w:outlineLvl w:val="9"/>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16.2.3 因承包人违约解除合同</w:t>
      </w:r>
      <w:r>
        <w:rPr>
          <w:rFonts w:hint="eastAsia" w:ascii="宋体" w:hAnsi="宋体" w:eastAsia="宋体" w:cs="宋体"/>
          <w:color w:val="auto"/>
          <w:kern w:val="0"/>
          <w:sz w:val="24"/>
          <w:szCs w:val="24"/>
          <w:highlight w:val="none"/>
        </w:rPr>
        <w:t>关于承包人违约解除合同的特别定：</w:t>
      </w:r>
      <w:r>
        <w:rPr>
          <w:rFonts w:hint="eastAsia" w:ascii="宋体" w:hAnsi="宋体" w:eastAsia="宋体" w:cs="宋体"/>
          <w:sz w:val="24"/>
          <w:szCs w:val="24"/>
          <w:highlight w:val="none"/>
          <w:u w:val="single"/>
        </w:rPr>
        <w:t xml:space="preserve">（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7天以书面形式通知承包人更换合格的项目经理，如更换后的项目经理仍旧不能胜任本职工作，发包人有解除合同的权利；（7）承包人违反本合同约定义务，经发包人催告后在限期内未改正的 </w:t>
      </w:r>
      <w:r>
        <w:rPr>
          <w:rFonts w:hint="eastAsia" w:ascii="宋体" w:hAnsi="宋体" w:eastAsia="宋体" w:cs="宋体"/>
          <w:sz w:val="24"/>
          <w:szCs w:val="24"/>
          <w:highlight w:val="none"/>
        </w:rPr>
        <w:t>。</w:t>
      </w:r>
    </w:p>
    <w:p w14:paraId="3B496AD5">
      <w:pPr>
        <w:spacing w:line="360" w:lineRule="auto"/>
        <w:ind w:firstLine="480" w:firstLineChars="200"/>
        <w:jc w:val="left"/>
        <w:outlineLvl w:val="9"/>
        <w:rPr>
          <w:rFonts w:hint="eastAsia" w:ascii="宋体" w:hAnsi="宋体" w:eastAsia="宋体" w:cs="宋体"/>
          <w:color w:val="auto"/>
          <w:kern w:val="0"/>
          <w:sz w:val="24"/>
          <w:szCs w:val="24"/>
          <w:highlight w:val="none"/>
        </w:rPr>
      </w:pPr>
      <w:r>
        <w:rPr>
          <w:rFonts w:hint="eastAsia" w:ascii="宋体" w:hAnsi="宋体" w:eastAsia="宋体" w:cs="宋体"/>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sz w:val="24"/>
          <w:szCs w:val="24"/>
          <w:highlight w:val="none"/>
          <w:u w:val="single"/>
        </w:rPr>
        <w:t xml:space="preserve">工程材料、设备由发包人按照承包人的折旧价使用，但不得高于承包人投标报价中的材料单价；施工设备、临时工程、承包人文件和由承包人或以其名义编制的其他文件的由发包人免费使用，由承包人负责维护、拆除及退场并承担相应费用 </w:t>
      </w:r>
      <w:r>
        <w:rPr>
          <w:rFonts w:hint="eastAsia" w:ascii="宋体" w:hAnsi="宋体" w:eastAsia="宋体" w:cs="宋体"/>
          <w:sz w:val="24"/>
          <w:szCs w:val="24"/>
          <w:highlight w:val="none"/>
        </w:rPr>
        <w:t>。</w:t>
      </w:r>
    </w:p>
    <w:p w14:paraId="54A202E3">
      <w:pPr>
        <w:numPr>
          <w:ilvl w:val="3"/>
          <w:numId w:val="1"/>
        </w:numPr>
        <w:spacing w:before="0" w:after="0" w:line="360" w:lineRule="auto"/>
        <w:outlineLvl w:val="9"/>
        <w:rPr>
          <w:rFonts w:hint="eastAsia" w:ascii="宋体" w:hAnsi="宋体" w:eastAsia="宋体" w:cs="宋体"/>
          <w:b w:val="0"/>
          <w:color w:val="auto"/>
          <w:sz w:val="24"/>
          <w:szCs w:val="24"/>
          <w:highlight w:val="none"/>
        </w:rPr>
      </w:pPr>
      <w:bookmarkStart w:id="488" w:name="_Toc351203649"/>
      <w:r>
        <w:rPr>
          <w:rFonts w:hint="eastAsia" w:ascii="宋体" w:hAnsi="宋体" w:eastAsia="宋体" w:cs="宋体"/>
          <w:b w:val="0"/>
          <w:color w:val="auto"/>
          <w:sz w:val="24"/>
          <w:szCs w:val="24"/>
          <w:highlight w:val="none"/>
        </w:rPr>
        <w:t>17. 不可抗力</w:t>
      </w:r>
      <w:bookmarkEnd w:id="488"/>
      <w:r>
        <w:rPr>
          <w:rFonts w:hint="eastAsia" w:ascii="宋体" w:hAnsi="宋体" w:eastAsia="宋体" w:cs="宋体"/>
          <w:b w:val="0"/>
          <w:color w:val="auto"/>
          <w:sz w:val="24"/>
          <w:szCs w:val="24"/>
          <w:highlight w:val="none"/>
        </w:rPr>
        <w:t xml:space="preserve"> </w:t>
      </w:r>
      <w:bookmarkEnd w:id="474"/>
    </w:p>
    <w:p w14:paraId="19586073">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不可抗力的确认</w:t>
      </w:r>
    </w:p>
    <w:p w14:paraId="31A49749">
      <w:pPr>
        <w:spacing w:line="360" w:lineRule="auto"/>
        <w:ind w:firstLine="480" w:firstLineChars="200"/>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除通用合同条款约定的不可抗力事件之外，视为不可抗力的其他情形： 包括因战争、动乱、空中飞行物体坠落或其他非发包人承包人责任造成的爆炸、火灾，以及专用条款约定的风、雨、雪、洪、震等自然灾害</w:t>
      </w:r>
      <w:r>
        <w:rPr>
          <w:rFonts w:hint="eastAsia" w:ascii="宋体" w:hAnsi="宋体" w:eastAsia="宋体" w:cs="宋体"/>
          <w:color w:val="auto"/>
          <w:kern w:val="0"/>
          <w:sz w:val="24"/>
          <w:szCs w:val="24"/>
          <w:highlight w:val="none"/>
        </w:rPr>
        <w:t>。</w:t>
      </w:r>
    </w:p>
    <w:p w14:paraId="5DF0A769">
      <w:pPr>
        <w:numPr>
          <w:ilvl w:val="3"/>
          <w:numId w:val="1"/>
        </w:numPr>
        <w:spacing w:before="0" w:after="0" w:line="360" w:lineRule="auto"/>
        <w:outlineLvl w:val="9"/>
        <w:rPr>
          <w:rFonts w:hint="eastAsia" w:ascii="宋体" w:hAnsi="宋体" w:eastAsia="宋体" w:cs="宋体"/>
          <w:b w:val="0"/>
          <w:color w:val="auto"/>
          <w:sz w:val="24"/>
          <w:szCs w:val="24"/>
          <w:highlight w:val="none"/>
        </w:rPr>
      </w:pPr>
      <w:bookmarkStart w:id="489" w:name="_Toc351203650"/>
      <w:r>
        <w:rPr>
          <w:rFonts w:hint="eastAsia" w:ascii="宋体" w:hAnsi="宋体" w:eastAsia="宋体" w:cs="宋体"/>
          <w:b w:val="0"/>
          <w:color w:val="auto"/>
          <w:sz w:val="24"/>
          <w:szCs w:val="24"/>
          <w:highlight w:val="none"/>
        </w:rPr>
        <w:t>17.4 因不可抗力解除合同</w:t>
      </w:r>
    </w:p>
    <w:p w14:paraId="512C5EC3">
      <w:pPr>
        <w:numPr>
          <w:ilvl w:val="3"/>
          <w:numId w:val="1"/>
        </w:numPr>
        <w:spacing w:before="0" w:after="0" w:line="360" w:lineRule="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lang w:val="en-US" w:eastAsia="zh-CN"/>
        </w:rPr>
        <w:t xml:space="preserve">   </w:t>
      </w:r>
      <w:r>
        <w:rPr>
          <w:rFonts w:hint="eastAsia" w:ascii="宋体" w:hAnsi="宋体" w:eastAsia="宋体" w:cs="宋体"/>
          <w:b w:val="0"/>
          <w:color w:val="auto"/>
          <w:sz w:val="24"/>
          <w:szCs w:val="24"/>
          <w:highlight w:val="none"/>
        </w:rPr>
        <w:t>合同解除后，发包人应在商定或确定发包人应支付款项后</w:t>
      </w:r>
      <w:r>
        <w:rPr>
          <w:rFonts w:hint="eastAsia" w:ascii="宋体" w:hAnsi="宋体" w:eastAsia="宋体" w:cs="宋体"/>
          <w:b w:val="0"/>
          <w:color w:val="auto"/>
          <w:sz w:val="24"/>
          <w:szCs w:val="24"/>
          <w:highlight w:val="none"/>
          <w:u w:val="single"/>
        </w:rPr>
        <w:t xml:space="preserve"> 60 </w:t>
      </w:r>
      <w:r>
        <w:rPr>
          <w:rFonts w:hint="eastAsia" w:ascii="宋体" w:hAnsi="宋体" w:eastAsia="宋体" w:cs="宋体"/>
          <w:b w:val="0"/>
          <w:color w:val="auto"/>
          <w:sz w:val="24"/>
          <w:szCs w:val="24"/>
          <w:highlight w:val="none"/>
        </w:rPr>
        <w:t>天内完成款项的支付</w:t>
      </w:r>
      <w:r>
        <w:rPr>
          <w:rFonts w:hint="eastAsia" w:ascii="宋体" w:hAnsi="宋体" w:eastAsia="宋体" w:cs="宋体"/>
          <w:b w:val="0"/>
          <w:color w:val="auto"/>
          <w:sz w:val="24"/>
          <w:szCs w:val="24"/>
          <w:highlight w:val="none"/>
          <w:lang w:eastAsia="zh-CN"/>
        </w:rPr>
        <w:t>。</w:t>
      </w:r>
    </w:p>
    <w:p w14:paraId="6A55D2A4">
      <w:pPr>
        <w:numPr>
          <w:ilvl w:val="3"/>
          <w:numId w:val="1"/>
        </w:numPr>
        <w:spacing w:before="0" w:after="0" w:line="360" w:lineRule="auto"/>
        <w:outlineLvl w:val="9"/>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18. 保险</w:t>
      </w:r>
      <w:bookmarkEnd w:id="489"/>
    </w:p>
    <w:bookmarkEnd w:id="475"/>
    <w:p w14:paraId="47A60B41">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工程保险</w:t>
      </w:r>
    </w:p>
    <w:p w14:paraId="74748EA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关于工程保险的特别约定：</w:t>
      </w:r>
      <w:r>
        <w:rPr>
          <w:rFonts w:hint="eastAsia" w:ascii="宋体" w:hAnsi="宋体" w:eastAsia="宋体" w:cs="宋体"/>
          <w:color w:val="auto"/>
          <w:kern w:val="0"/>
          <w:sz w:val="24"/>
          <w:szCs w:val="24"/>
          <w:highlight w:val="none"/>
          <w:u w:val="single"/>
        </w:rPr>
        <w:t>工程开工前，</w:t>
      </w:r>
      <w:r>
        <w:rPr>
          <w:rFonts w:hint="eastAsia" w:ascii="宋体" w:hAnsi="宋体" w:cs="宋体"/>
          <w:color w:val="auto"/>
          <w:kern w:val="0"/>
          <w:sz w:val="24"/>
          <w:szCs w:val="24"/>
          <w:highlight w:val="none"/>
          <w:u w:val="single"/>
          <w:lang w:val="en-US" w:eastAsia="zh-CN"/>
        </w:rPr>
        <w:t>承包</w:t>
      </w:r>
      <w:r>
        <w:rPr>
          <w:rFonts w:hint="eastAsia" w:ascii="宋体" w:hAnsi="宋体" w:eastAsia="宋体" w:cs="宋体"/>
          <w:color w:val="auto"/>
          <w:kern w:val="0"/>
          <w:sz w:val="24"/>
          <w:szCs w:val="24"/>
          <w:highlight w:val="none"/>
          <w:u w:val="single"/>
        </w:rPr>
        <w:t>人为建设工程和施工现场内的自有人员及第三人人员生命财产办理保险，支付保险费用</w:t>
      </w:r>
      <w:r>
        <w:rPr>
          <w:rFonts w:hint="eastAsia" w:ascii="宋体" w:hAnsi="宋体" w:eastAsia="宋体" w:cs="宋体"/>
          <w:color w:val="auto"/>
          <w:kern w:val="0"/>
          <w:sz w:val="24"/>
          <w:szCs w:val="24"/>
          <w:highlight w:val="none"/>
        </w:rPr>
        <w:t>。</w:t>
      </w:r>
    </w:p>
    <w:p w14:paraId="220DEE04">
      <w:pPr>
        <w:spacing w:line="360" w:lineRule="auto"/>
        <w:ind w:firstLine="480" w:firstLineChars="200"/>
        <w:outlineLvl w:val="9"/>
        <w:rPr>
          <w:rFonts w:hint="eastAsia" w:ascii="宋体" w:hAnsi="宋体" w:eastAsia="宋体" w:cs="宋体"/>
          <w:color w:val="auto"/>
          <w:sz w:val="24"/>
          <w:szCs w:val="24"/>
          <w:highlight w:val="none"/>
        </w:rPr>
      </w:pPr>
      <w:bookmarkStart w:id="490" w:name="_Toc14114"/>
      <w:bookmarkStart w:id="491" w:name="_Toc508703909"/>
      <w:bookmarkStart w:id="492" w:name="_Toc510449987"/>
      <w:bookmarkStart w:id="493" w:name="_Toc10476"/>
      <w:bookmarkStart w:id="494" w:name="_Toc508702751"/>
      <w:bookmarkStart w:id="495" w:name="_Toc18989"/>
      <w:r>
        <w:rPr>
          <w:rFonts w:hint="eastAsia" w:ascii="宋体" w:hAnsi="宋体" w:eastAsia="宋体" w:cs="宋体"/>
          <w:color w:val="auto"/>
          <w:sz w:val="24"/>
          <w:szCs w:val="24"/>
          <w:highlight w:val="none"/>
        </w:rPr>
        <w:t>18.3 其他保险</w:t>
      </w:r>
      <w:bookmarkEnd w:id="490"/>
      <w:bookmarkEnd w:id="491"/>
      <w:bookmarkEnd w:id="492"/>
      <w:bookmarkEnd w:id="493"/>
      <w:bookmarkEnd w:id="494"/>
      <w:bookmarkEnd w:id="495"/>
    </w:p>
    <w:p w14:paraId="11EA424A">
      <w:pPr>
        <w:spacing w:line="360" w:lineRule="auto"/>
        <w:ind w:firstLine="480" w:firstLineChars="200"/>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u w:val="single"/>
          <w:lang w:val="en-US" w:eastAsia="zh-CN"/>
        </w:rPr>
        <w:t>1</w:t>
      </w:r>
      <w:r>
        <w:rPr>
          <w:rFonts w:hint="eastAsia" w:ascii="宋体" w:hAnsi="宋体" w:eastAsia="宋体" w:cs="宋体"/>
          <w:color w:val="auto"/>
          <w:kern w:val="0"/>
          <w:sz w:val="24"/>
          <w:szCs w:val="24"/>
          <w:highlight w:val="none"/>
          <w:u w:val="single"/>
          <w:lang w:eastAsia="zh-CN"/>
        </w:rPr>
        <w:t>）</w:t>
      </w:r>
      <w:r>
        <w:rPr>
          <w:rFonts w:hint="eastAsia" w:ascii="宋体" w:hAnsi="宋体" w:cs="宋体"/>
          <w:color w:val="auto"/>
          <w:kern w:val="0"/>
          <w:sz w:val="24"/>
          <w:szCs w:val="24"/>
          <w:highlight w:val="none"/>
          <w:u w:val="single"/>
          <w:lang w:val="en-US" w:eastAsia="zh-CN"/>
        </w:rPr>
        <w:t>承包</w:t>
      </w:r>
      <w:r>
        <w:rPr>
          <w:rFonts w:hint="eastAsia" w:ascii="宋体" w:hAnsi="宋体" w:eastAsia="宋体" w:cs="宋体"/>
          <w:color w:val="auto"/>
          <w:kern w:val="0"/>
          <w:sz w:val="24"/>
          <w:szCs w:val="24"/>
          <w:highlight w:val="none"/>
          <w:u w:val="single"/>
        </w:rPr>
        <w:t>人供应的运至施工场地内用于工程的材料设备，由</w:t>
      </w:r>
      <w:r>
        <w:rPr>
          <w:rFonts w:hint="eastAsia" w:ascii="宋体" w:hAnsi="宋体" w:cs="宋体"/>
          <w:color w:val="auto"/>
          <w:kern w:val="0"/>
          <w:sz w:val="24"/>
          <w:szCs w:val="24"/>
          <w:highlight w:val="none"/>
          <w:u w:val="single"/>
          <w:lang w:val="en-US" w:eastAsia="zh-CN"/>
        </w:rPr>
        <w:t>承包</w:t>
      </w:r>
      <w:r>
        <w:rPr>
          <w:rFonts w:hint="eastAsia" w:ascii="宋体" w:hAnsi="宋体" w:eastAsia="宋体" w:cs="宋体"/>
          <w:color w:val="auto"/>
          <w:kern w:val="0"/>
          <w:sz w:val="24"/>
          <w:szCs w:val="24"/>
          <w:highlight w:val="none"/>
          <w:u w:val="single"/>
        </w:rPr>
        <w:t>人办理保险，并支付保险费用。</w:t>
      </w:r>
    </w:p>
    <w:p w14:paraId="083BD317">
      <w:pPr>
        <w:spacing w:line="360" w:lineRule="auto"/>
        <w:ind w:firstLine="480" w:firstLineChars="200"/>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single"/>
          <w:lang w:eastAsia="zh-CN"/>
        </w:rPr>
        <w:t>（</w:t>
      </w:r>
      <w:r>
        <w:rPr>
          <w:rFonts w:hint="eastAsia" w:ascii="宋体" w:hAnsi="宋体" w:cs="宋体"/>
          <w:color w:val="auto"/>
          <w:kern w:val="0"/>
          <w:sz w:val="24"/>
          <w:szCs w:val="24"/>
          <w:highlight w:val="none"/>
          <w:u w:val="single"/>
          <w:lang w:val="en-US" w:eastAsia="zh-CN"/>
        </w:rPr>
        <w:t>2</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u w:val="single"/>
        </w:rPr>
        <w:t>承包人必须为施工场地内施工人员办理意外伤害保险和工伤保险，并为施工场地内的施工机械设备办理财产保险，支付保险费用</w:t>
      </w:r>
      <w:r>
        <w:rPr>
          <w:rFonts w:hint="eastAsia" w:ascii="宋体" w:hAnsi="宋体" w:eastAsia="宋体" w:cs="宋体"/>
          <w:color w:val="auto"/>
          <w:kern w:val="0"/>
          <w:sz w:val="24"/>
          <w:szCs w:val="24"/>
          <w:highlight w:val="none"/>
        </w:rPr>
        <w:t>。</w:t>
      </w:r>
    </w:p>
    <w:p w14:paraId="5D5B488A">
      <w:pPr>
        <w:spacing w:line="360" w:lineRule="auto"/>
        <w:ind w:firstLine="480" w:firstLineChars="200"/>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445"/>
    <w:bookmarkEnd w:id="446"/>
    <w:bookmarkEnd w:id="447"/>
    <w:bookmarkEnd w:id="448"/>
    <w:bookmarkEnd w:id="449"/>
    <w:bookmarkEnd w:id="450"/>
    <w:bookmarkEnd w:id="451"/>
    <w:bookmarkEnd w:id="452"/>
    <w:bookmarkEnd w:id="453"/>
    <w:bookmarkEnd w:id="454"/>
    <w:bookmarkEnd w:id="455"/>
    <w:bookmarkEnd w:id="456"/>
    <w:p w14:paraId="6D921330">
      <w:pPr>
        <w:numPr>
          <w:ilvl w:val="3"/>
          <w:numId w:val="1"/>
        </w:numPr>
        <w:spacing w:before="0" w:after="0" w:line="360" w:lineRule="auto"/>
        <w:outlineLvl w:val="9"/>
        <w:rPr>
          <w:rFonts w:hint="eastAsia" w:ascii="宋体" w:hAnsi="宋体" w:eastAsia="宋体" w:cs="宋体"/>
          <w:b w:val="0"/>
          <w:color w:val="auto"/>
          <w:sz w:val="24"/>
          <w:szCs w:val="24"/>
          <w:highlight w:val="none"/>
        </w:rPr>
      </w:pPr>
      <w:bookmarkStart w:id="496" w:name="_Toc351203651"/>
      <w:r>
        <w:rPr>
          <w:rFonts w:hint="eastAsia" w:ascii="宋体" w:hAnsi="宋体" w:eastAsia="宋体" w:cs="宋体"/>
          <w:b w:val="0"/>
          <w:color w:val="auto"/>
          <w:sz w:val="24"/>
          <w:szCs w:val="24"/>
          <w:highlight w:val="none"/>
        </w:rPr>
        <w:t>20. 争议解决</w:t>
      </w:r>
      <w:bookmarkEnd w:id="496"/>
    </w:p>
    <w:bookmarkEnd w:id="457"/>
    <w:bookmarkEnd w:id="458"/>
    <w:p w14:paraId="7664BEF3">
      <w:pPr>
        <w:spacing w:line="360" w:lineRule="auto"/>
        <w:ind w:firstLine="480" w:firstLineChars="200"/>
        <w:outlineLvl w:val="9"/>
        <w:rPr>
          <w:rFonts w:hint="eastAsia" w:ascii="宋体" w:hAnsi="宋体" w:eastAsia="宋体" w:cs="宋体"/>
          <w:color w:val="auto"/>
          <w:sz w:val="24"/>
          <w:szCs w:val="24"/>
          <w:highlight w:val="none"/>
        </w:rPr>
      </w:pPr>
      <w:bookmarkStart w:id="497" w:name="_Toc23713"/>
      <w:bookmarkStart w:id="498" w:name="_Toc15146"/>
      <w:bookmarkStart w:id="499" w:name="_Toc508702752"/>
      <w:bookmarkStart w:id="500" w:name="_Toc510449988"/>
      <w:bookmarkStart w:id="501" w:name="_Toc508703910"/>
      <w:bookmarkStart w:id="502" w:name="_Toc16286"/>
      <w:r>
        <w:rPr>
          <w:rFonts w:hint="eastAsia" w:ascii="宋体" w:hAnsi="宋体" w:eastAsia="宋体" w:cs="宋体"/>
          <w:color w:val="auto"/>
          <w:sz w:val="24"/>
          <w:szCs w:val="24"/>
          <w:highlight w:val="none"/>
        </w:rPr>
        <w:t>20.3 争</w:t>
      </w:r>
      <w:bookmarkEnd w:id="459"/>
      <w:r>
        <w:rPr>
          <w:rFonts w:hint="eastAsia" w:ascii="宋体" w:hAnsi="宋体" w:eastAsia="宋体" w:cs="宋体"/>
          <w:color w:val="auto"/>
          <w:sz w:val="24"/>
          <w:szCs w:val="24"/>
          <w:highlight w:val="none"/>
        </w:rPr>
        <w:t>议评审</w:t>
      </w:r>
      <w:bookmarkEnd w:id="497"/>
      <w:bookmarkEnd w:id="498"/>
      <w:bookmarkEnd w:id="499"/>
      <w:bookmarkEnd w:id="500"/>
      <w:bookmarkEnd w:id="501"/>
      <w:bookmarkEnd w:id="502"/>
    </w:p>
    <w:p w14:paraId="2B9FD327">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本项目争议按照合同通用条款中和解、调解、仲裁或诉讼的方式解决，不进行争议评审。</w:t>
      </w:r>
    </w:p>
    <w:p w14:paraId="733A8C75">
      <w:pPr>
        <w:spacing w:line="360" w:lineRule="auto"/>
        <w:ind w:firstLine="480" w:firstLineChars="200"/>
        <w:outlineLvl w:val="9"/>
        <w:rPr>
          <w:rFonts w:hint="eastAsia" w:ascii="宋体" w:hAnsi="宋体" w:eastAsia="宋体" w:cs="宋体"/>
          <w:color w:val="auto"/>
          <w:sz w:val="24"/>
          <w:szCs w:val="24"/>
          <w:highlight w:val="none"/>
        </w:rPr>
      </w:pPr>
      <w:bookmarkStart w:id="503" w:name="_Toc508703913"/>
      <w:bookmarkStart w:id="504" w:name="_Toc28637"/>
      <w:bookmarkStart w:id="505" w:name="_Toc20940"/>
      <w:bookmarkStart w:id="506" w:name="_Toc510449991"/>
      <w:bookmarkStart w:id="507" w:name="_Toc508702755"/>
      <w:bookmarkStart w:id="508" w:name="_Toc20522"/>
      <w:r>
        <w:rPr>
          <w:rFonts w:hint="eastAsia" w:ascii="宋体" w:hAnsi="宋体" w:eastAsia="宋体" w:cs="宋体"/>
          <w:color w:val="auto"/>
          <w:sz w:val="24"/>
          <w:szCs w:val="24"/>
          <w:highlight w:val="none"/>
        </w:rPr>
        <w:t>20.4仲裁或诉讼</w:t>
      </w:r>
      <w:bookmarkEnd w:id="460"/>
      <w:bookmarkEnd w:id="503"/>
      <w:bookmarkEnd w:id="504"/>
      <w:bookmarkEnd w:id="505"/>
      <w:bookmarkEnd w:id="506"/>
      <w:bookmarkEnd w:id="507"/>
      <w:bookmarkEnd w:id="508"/>
    </w:p>
    <w:p w14:paraId="02C859F8">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w:t>
      </w:r>
      <w:r>
        <w:rPr>
          <w:rFonts w:hint="eastAsia" w:ascii="宋体" w:hAnsi="宋体" w:eastAsia="宋体" w:cs="宋体"/>
          <w:color w:val="auto"/>
          <w:sz w:val="24"/>
          <w:szCs w:val="24"/>
          <w:highlight w:val="none"/>
          <w:u w:val="single"/>
        </w:rPr>
        <w:t xml:space="preserve"> 发包人承包人在履行合同时发生争议，可以协商和解或者要求有关主管部门调解。当事人不愿和解、调解或者和解、调解不成的，双方可以在专用条款内约定第一种方式解决争议，如果第一种不能解决，则采取第二种方式    </w:t>
      </w:r>
      <w:r>
        <w:rPr>
          <w:rFonts w:hint="eastAsia" w:ascii="宋体" w:hAnsi="宋体" w:eastAsia="宋体" w:cs="宋体"/>
          <w:color w:val="auto"/>
          <w:sz w:val="24"/>
          <w:szCs w:val="24"/>
          <w:highlight w:val="none"/>
        </w:rPr>
        <w:t>种方式解决：</w:t>
      </w:r>
    </w:p>
    <w:p w14:paraId="6187651C">
      <w:pPr>
        <w:numPr>
          <w:ilvl w:val="0"/>
          <w:numId w:val="2"/>
        </w:num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向</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约定的  </w:t>
      </w:r>
      <w:r>
        <w:rPr>
          <w:rFonts w:hint="eastAsia" w:ascii="宋体" w:hAnsi="宋体" w:eastAsia="宋体" w:cs="宋体"/>
          <w:color w:val="auto"/>
          <w:sz w:val="24"/>
          <w:szCs w:val="24"/>
          <w:highlight w:val="none"/>
        </w:rPr>
        <w:t>仲裁委员会申请仲裁；</w:t>
      </w:r>
    </w:p>
    <w:p w14:paraId="372B3E0C">
      <w:pPr>
        <w:numPr>
          <w:ilvl w:val="0"/>
          <w:numId w:val="2"/>
        </w:num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color w:val="auto"/>
          <w:sz w:val="24"/>
          <w:szCs w:val="24"/>
          <w:highlight w:val="none"/>
        </w:rPr>
        <w:t>向</w:t>
      </w:r>
      <w:r>
        <w:rPr>
          <w:rFonts w:hint="eastAsia" w:ascii="宋体" w:hAnsi="宋体" w:eastAsia="宋体" w:cs="宋体"/>
          <w:color w:val="auto"/>
          <w:sz w:val="24"/>
          <w:szCs w:val="24"/>
          <w:highlight w:val="none"/>
          <w:u w:val="single"/>
        </w:rPr>
        <w:t xml:space="preserve"> 有管辖权的 </w:t>
      </w:r>
      <w:r>
        <w:rPr>
          <w:rFonts w:hint="eastAsia" w:ascii="宋体" w:hAnsi="宋体" w:eastAsia="宋体" w:cs="宋体"/>
          <w:color w:val="auto"/>
          <w:sz w:val="24"/>
          <w:szCs w:val="24"/>
          <w:highlight w:val="none"/>
        </w:rPr>
        <w:t>人民法院起诉。</w:t>
      </w:r>
      <w:bookmarkEnd w:id="461"/>
      <w:bookmarkEnd w:id="462"/>
      <w:bookmarkEnd w:id="463"/>
      <w:bookmarkEnd w:id="464"/>
      <w:bookmarkEnd w:id="465"/>
      <w:bookmarkEnd w:id="466"/>
    </w:p>
    <w:p w14:paraId="63957EF2"/>
    <w:p w14:paraId="23DC6857"/>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C1AD0">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28AA07B">
                          <w:pPr>
                            <w:pStyle w:val="3"/>
                          </w:pPr>
                          <w:r>
                            <w:fldChar w:fldCharType="begin"/>
                          </w:r>
                          <w:r>
                            <w:instrText xml:space="preserve"> PAGE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jHpww4AgAAb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mMenDDgCAABvBAAADgAAAAAAAAABACAAAAAfAQAAZHJzL2Uyb0RvYy54&#10;bWxQSwUGAAAAAAYABgBZAQAAyQUAAAAA&#10;">
              <v:fill on="f" focussize="0,0"/>
              <v:stroke on="f" weight="0.5pt"/>
              <v:imagedata o:title=""/>
              <o:lock v:ext="edit" aspectratio="f"/>
              <v:textbox inset="0mm,0mm,0mm,0mm" style="mso-fit-shape-to-text:t;">
                <w:txbxContent>
                  <w:p w14:paraId="028AA07B">
                    <w:pPr>
                      <w:pStyle w:val="3"/>
                    </w:pPr>
                    <w:r>
                      <w:fldChar w:fldCharType="begin"/>
                    </w:r>
                    <w:r>
                      <w:instrText xml:space="preserve"> PAGE  \* MERGEFORMAT </w:instrText>
                    </w:r>
                    <w:r>
                      <w:fldChar w:fldCharType="separate"/>
                    </w:r>
                    <w:r>
                      <w:t>24</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184CC3"/>
    <w:multiLevelType w:val="multilevel"/>
    <w:tmpl w:val="0B184CC3"/>
    <w:lvl w:ilvl="0" w:tentative="0">
      <w:start w:val="1"/>
      <w:numFmt w:val="chineseCountingThousand"/>
      <w:suff w:val="nothing"/>
      <w:lvlText w:val="第%1章 "/>
      <w:lvlJc w:val="left"/>
      <w:pPr>
        <w:ind w:left="0" w:firstLine="0"/>
      </w:pPr>
      <w:rPr>
        <w:rFonts w:hint="eastAsia"/>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1D55C943"/>
    <w:multiLevelType w:val="singleLevel"/>
    <w:tmpl w:val="1D55C943"/>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C4227"/>
    <w:rsid w:val="7A127A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footer"/>
    <w:basedOn w:val="1"/>
    <w:qFormat/>
    <w:uiPriority w:val="0"/>
    <w:pPr>
      <w:tabs>
        <w:tab w:val="center" w:pos="4153"/>
        <w:tab w:val="right" w:pos="8306"/>
      </w:tabs>
      <w:snapToGrid w:val="0"/>
      <w:jc w:val="left"/>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10199</Words>
  <Characters>10720</Characters>
  <Lines>0</Lines>
  <Paragraphs>0</Paragraphs>
  <TotalTime>0</TotalTime>
  <ScaleCrop>false</ScaleCrop>
  <LinksUpToDate>false</LinksUpToDate>
  <CharactersWithSpaces>11835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2025-07-25T09:16:00Z</dcterms:created>
  <dc:creator>ASUS</dc:creator>
  <cp:lastModifiedBy>soloist丶</cp:lastModifiedBy>
  <dcterms:modified xsi:type="dcterms:W3CDTF">2025-07-25T09:17:05Z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eyJoZGlkIjoiOWQ4OTY4ZmZhMWJmMWNiYjUzYWRlZTc1NWM1MjYxMzgiLCJ1c2VySWQiOiIzNDY2NzU3MzEifQ==</vt:lpwstr>
  </property>
  <property fmtid="{D5CDD505-2E9C-101B-9397-08002B2CF9AE}" pid="4" name="ICV">
    <vt:lpwstr>9458BC07E8E645108499903D07BBEBD6_12</vt:lpwstr>
  </property>
</Properties>
</file>