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版本号：SXWZD-（CS）2025-070120250726001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2025第十九届国家级非遗红拳传承人展演交流大赛暨第十一届青少年红拳大赛开幕式文艺演出项目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SXWZD-（CS）2025-0701</w:t>
      </w:r>
      <w:r>
        <w:br/>
      </w:r>
      <w:r>
        <w:br/>
      </w:r>
      <w:r>
        <w:br/>
      </w:r>
    </w:p>
    <w:p>
      <w:pPr>
        <w:pStyle w:val="null3"/>
        <w:jc w:val="center"/>
        <w:outlineLvl w:val="2"/>
      </w:pPr>
      <w:r>
        <w:rPr>
          <w:rFonts w:ascii="仿宋_GB2312" w:hAnsi="仿宋_GB2312" w:cs="仿宋_GB2312" w:eastAsia="仿宋_GB2312"/>
          <w:sz w:val="28"/>
          <w:b/>
        </w:rPr>
        <w:t>三原县文化和旅游局</w:t>
      </w:r>
    </w:p>
    <w:p>
      <w:pPr>
        <w:pStyle w:val="null3"/>
        <w:jc w:val="center"/>
        <w:outlineLvl w:val="2"/>
      </w:pPr>
      <w:r>
        <w:rPr>
          <w:rFonts w:ascii="仿宋_GB2312" w:hAnsi="仿宋_GB2312" w:cs="仿宋_GB2312" w:eastAsia="仿宋_GB2312"/>
          <w:sz w:val="28"/>
          <w:b/>
        </w:rPr>
        <w:t>陕西文之鼎项目管理有限责任公司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陕西文之鼎项目管理有限责任公司</w:t>
      </w:r>
      <w:r>
        <w:rPr>
          <w:rFonts w:ascii="仿宋_GB2312" w:hAnsi="仿宋_GB2312" w:cs="仿宋_GB2312" w:eastAsia="仿宋_GB2312"/>
        </w:rPr>
        <w:t>（以下简称“代理机构”）受</w:t>
      </w:r>
      <w:r>
        <w:rPr>
          <w:rFonts w:ascii="仿宋_GB2312" w:hAnsi="仿宋_GB2312" w:cs="仿宋_GB2312" w:eastAsia="仿宋_GB2312"/>
        </w:rPr>
        <w:t>三原县文化和旅游局</w:t>
      </w:r>
      <w:r>
        <w:rPr>
          <w:rFonts w:ascii="仿宋_GB2312" w:hAnsi="仿宋_GB2312" w:cs="仿宋_GB2312" w:eastAsia="仿宋_GB2312"/>
        </w:rPr>
        <w:t>委托，拟对</w:t>
      </w:r>
      <w:r>
        <w:rPr>
          <w:rFonts w:ascii="仿宋_GB2312" w:hAnsi="仿宋_GB2312" w:cs="仿宋_GB2312" w:eastAsia="仿宋_GB2312"/>
        </w:rPr>
        <w:t>2025第十九届国家级非遗红拳传承人展演交流大赛暨第十一届青少年红拳大赛开幕式文艺演出项目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SXWZD-（CS）2025-0701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2025第十九届国家级非遗红拳传承人展演交流大赛暨第十一届青少年红拳大赛开幕式文艺演出项目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2025第十九届国家级非遗红拳传承人展演交流大赛暨第十一届青少年红拳大赛开幕式文艺演出项目,具体详见磋商文件。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w:t>
      </w:r>
    </w:p>
    <w:p>
      <w:pPr>
        <w:pStyle w:val="null3"/>
      </w:pPr>
      <w:r>
        <w:rPr>
          <w:rFonts w:ascii="仿宋_GB2312" w:hAnsi="仿宋_GB2312" w:cs="仿宋_GB2312" w:eastAsia="仿宋_GB2312"/>
        </w:rPr>
        <w:t>2、法定代表人授权书：法定代表人授权书（附法定代表人身份证复印件）及被授权人身份证（法定代表人直接参加只须提供法定代表人身份证）</w:t>
      </w:r>
    </w:p>
    <w:p>
      <w:pPr>
        <w:pStyle w:val="null3"/>
      </w:pPr>
      <w:r>
        <w:rPr>
          <w:rFonts w:ascii="仿宋_GB2312" w:hAnsi="仿宋_GB2312" w:cs="仿宋_GB2312" w:eastAsia="仿宋_GB2312"/>
        </w:rPr>
        <w:t>3、重大违法记录声明：供应商参加采购活动近3年内经营活动中没有重大违法记录声明</w:t>
      </w:r>
    </w:p>
    <w:p>
      <w:pPr>
        <w:pStyle w:val="null3"/>
      </w:pPr>
      <w:r>
        <w:rPr>
          <w:rFonts w:ascii="仿宋_GB2312" w:hAnsi="仿宋_GB2312" w:cs="仿宋_GB2312" w:eastAsia="仿宋_GB2312"/>
        </w:rPr>
        <w:t>4、经营许可证：供应商具有演出经营许可证且在有效期内</w:t>
      </w:r>
    </w:p>
    <w:p>
      <w:pPr>
        <w:pStyle w:val="null3"/>
      </w:pPr>
      <w:r>
        <w:rPr>
          <w:rFonts w:ascii="仿宋_GB2312" w:hAnsi="仿宋_GB2312" w:cs="仿宋_GB2312" w:eastAsia="仿宋_GB2312"/>
        </w:rPr>
        <w:t>5、审计报告：提供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6、纳税证明或完税证明：提供2025年1月至今已缴纳的至少一个月的纳税证明或完税证明，依法免税的单位应提供相关证明材料</w:t>
      </w:r>
    </w:p>
    <w:p>
      <w:pPr>
        <w:pStyle w:val="null3"/>
      </w:pPr>
      <w:r>
        <w:rPr>
          <w:rFonts w:ascii="仿宋_GB2312" w:hAnsi="仿宋_GB2312" w:cs="仿宋_GB2312" w:eastAsia="仿宋_GB2312"/>
        </w:rPr>
        <w:t>7、社保缴纳证明：提供2025年1月至今已缴存的一个月的社会保障资金缴存单据或社保机构开具的社会保险参保缴费情况证明，依法不需要缴纳社会保障资金的投标单位应提供相关文件证明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8、声明：提供具有履行本合同所必需的设备和专业技术能力的声明</w:t>
      </w:r>
    </w:p>
    <w:p>
      <w:pPr>
        <w:pStyle w:val="null3"/>
      </w:pPr>
      <w:r>
        <w:rPr>
          <w:rFonts w:ascii="仿宋_GB2312" w:hAnsi="仿宋_GB2312" w:cs="仿宋_GB2312" w:eastAsia="仿宋_GB2312"/>
        </w:rPr>
        <w:t>9、信用中国：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10、控股、管理关系：单位负责人为同一人或者存在控股、管理关系的不同供应商，不得同时参加本项目采购活动；</w:t>
      </w:r>
    </w:p>
    <w:p>
      <w:pPr>
        <w:pStyle w:val="null3"/>
      </w:pPr>
      <w:r>
        <w:rPr>
          <w:rFonts w:ascii="仿宋_GB2312" w:hAnsi="仿宋_GB2312" w:cs="仿宋_GB2312" w:eastAsia="仿宋_GB2312"/>
        </w:rPr>
        <w:t>11、不专门面向中小企业：本项目不专门面向中小企业采购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三原县池阳大街150号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靳滨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029-32282682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陕西文之鼎项目管理有限责任公司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陕西省西安市高新区锦业路锦业时代B2-506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龚天艳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18629426765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采购包1：924,193.00元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三原县文化和旅游局</w:t>
      </w:r>
      <w:r>
        <w:rPr>
          <w:rFonts w:ascii="仿宋_GB2312" w:hAnsi="仿宋_GB2312" w:cs="仿宋_GB2312" w:eastAsia="仿宋_GB2312"/>
        </w:rPr>
        <w:t>和</w:t>
      </w:r>
      <w:r>
        <w:rPr>
          <w:rFonts w:ascii="仿宋_GB2312" w:hAnsi="仿宋_GB2312" w:cs="仿宋_GB2312" w:eastAsia="仿宋_GB2312"/>
        </w:rPr>
        <w:t>陕西文之鼎项目管理有限责任公司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陕西文之鼎项目管理有限责任公司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陕西文之鼎项目管理有限责任公司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联系人：龚天艳</w:t>
      </w:r>
    </w:p>
    <w:p>
      <w:pPr>
        <w:pStyle w:val="null3"/>
      </w:pPr>
      <w:r>
        <w:rPr>
          <w:rFonts w:ascii="仿宋_GB2312" w:hAnsi="仿宋_GB2312" w:cs="仿宋_GB2312" w:eastAsia="仿宋_GB2312"/>
        </w:rPr>
        <w:t>联系电话：18629426765</w:t>
      </w:r>
    </w:p>
    <w:p>
      <w:pPr>
        <w:pStyle w:val="null3"/>
      </w:pPr>
      <w:r>
        <w:rPr>
          <w:rFonts w:ascii="仿宋_GB2312" w:hAnsi="仿宋_GB2312" w:cs="仿宋_GB2312" w:eastAsia="仿宋_GB2312"/>
        </w:rPr>
        <w:t>地址：陕西省西安市高新区锦业路锦业时代B2-506</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2025第十九届国家级非遗红拳传承人展演交流大赛暨第十一届青少年红拳大赛开幕式文艺演出项目,具体详见磋商文件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924,193.00</w:t>
      </w:r>
    </w:p>
    <w:p>
      <w:pPr>
        <w:pStyle w:val="null3"/>
      </w:pPr>
      <w:r>
        <w:rPr>
          <w:rFonts w:ascii="仿宋_GB2312" w:hAnsi="仿宋_GB2312" w:cs="仿宋_GB2312" w:eastAsia="仿宋_GB2312"/>
        </w:rPr>
        <w:t>采购包最高限价（元）: 924,193.00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2025年第十九届国际红拳传承人展演交流大赛暨第十一届青少年红拳大赛 开幕式文艺演出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924,193.00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2025年第十九届国际红拳传承人展演交流大赛暨第十一届青少年红拳大赛 开幕式文艺演出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项目概况：为促进文旅高质量发展，按照县委、县政府工作部署，通过体育＋文化＋旅游活动开展推动三原经济实现高质量发展。通过本次活动展现当地非遗民俗、文旅、群众体育从而推动三原县全民健身和旅游经济发展</w:t>
            </w:r>
            <w:r>
              <w:rPr>
                <w:rFonts w:ascii="仿宋_GB2312" w:hAnsi="仿宋_GB2312" w:cs="仿宋_GB2312" w:eastAsia="仿宋_GB2312"/>
                <w:sz w:val="24"/>
                <w:color w:val="000000"/>
              </w:rPr>
              <w:t>；</w:t>
            </w:r>
          </w:p>
          <w:p>
            <w:pPr>
              <w:pStyle w:val="null3"/>
              <w:numPr>
                <w:ilvl w:val="0"/>
                <w:numId w:val="1"/>
              </w:numPr>
              <w:jc w:val="left"/>
            </w:pPr>
            <w:r>
              <w:rPr>
                <w:rFonts w:ascii="仿宋_GB2312" w:hAnsi="仿宋_GB2312" w:cs="仿宋_GB2312" w:eastAsia="仿宋_GB2312"/>
                <w:sz w:val="24"/>
                <w:color w:val="000000"/>
              </w:rPr>
              <w:t>采购标的需实现的采购目标：根据演出阵容、演出单位舞台设备水平、剧目策划、剧目创编、剧目排练、社会影响力等因素，最终以演出单位整体实力和剧目的社会效果确定演出团体的类别。演出时长：</w:t>
            </w:r>
            <w:r>
              <w:rPr>
                <w:rFonts w:ascii="仿宋_GB2312" w:hAnsi="仿宋_GB2312" w:cs="仿宋_GB2312" w:eastAsia="仿宋_GB2312"/>
                <w:sz w:val="24"/>
                <w:color w:val="000000"/>
              </w:rPr>
              <w:t>40分钟左右。</w:t>
            </w:r>
          </w:p>
          <w:p>
            <w:pPr>
              <w:pStyle w:val="null3"/>
              <w:numPr>
                <w:ilvl w:val="0"/>
                <w:numId w:val="1"/>
              </w:numPr>
              <w:jc w:val="left"/>
            </w:pPr>
            <w:r>
              <w:rPr>
                <w:rFonts w:ascii="仿宋_GB2312" w:hAnsi="仿宋_GB2312" w:cs="仿宋_GB2312" w:eastAsia="仿宋_GB2312"/>
                <w:sz w:val="24"/>
                <w:color w:val="000000"/>
              </w:rPr>
              <w:t>质量标准：符合国家技术规范标准、规程、政府审批部门有关本项目</w:t>
            </w:r>
          </w:p>
          <w:p>
            <w:pPr>
              <w:pStyle w:val="null3"/>
              <w:jc w:val="left"/>
            </w:pPr>
            <w:r>
              <w:rPr>
                <w:rFonts w:ascii="仿宋_GB2312" w:hAnsi="仿宋_GB2312" w:cs="仿宋_GB2312" w:eastAsia="仿宋_GB2312"/>
                <w:sz w:val="24"/>
                <w:color w:val="000000"/>
              </w:rPr>
              <w:t>的文件。</w:t>
            </w:r>
          </w:p>
          <w:p>
            <w:pPr>
              <w:pStyle w:val="null3"/>
              <w:numPr>
                <w:ilvl w:val="0"/>
                <w:numId w:val="1"/>
              </w:numPr>
              <w:jc w:val="left"/>
            </w:pPr>
            <w:r>
              <w:rPr>
                <w:rFonts w:ascii="仿宋_GB2312" w:hAnsi="仿宋_GB2312" w:cs="仿宋_GB2312" w:eastAsia="仿宋_GB2312"/>
                <w:sz w:val="24"/>
                <w:color w:val="000000"/>
              </w:rPr>
              <w:t>规格要求：</w:t>
            </w:r>
            <w:r>
              <w:rPr>
                <w:rFonts w:ascii="仿宋_GB2312" w:hAnsi="仿宋_GB2312" w:cs="仿宋_GB2312" w:eastAsia="仿宋_GB2312"/>
                <w:sz w:val="24"/>
                <w:color w:val="000000"/>
              </w:rPr>
              <w:t>1、整场活动搭建（灯光、舞台、音响、led屏幕、场景）类完成搭建，达到使用要求；2、整场活动演出部分按照演出时间要求完成策划、创编、排练、完成演艺表演；</w:t>
            </w:r>
          </w:p>
          <w:p>
            <w:pPr>
              <w:pStyle w:val="null3"/>
              <w:numPr>
                <w:ilvl w:val="0"/>
                <w:numId w:val="1"/>
              </w:numPr>
              <w:jc w:val="left"/>
            </w:pPr>
            <w:r>
              <w:rPr>
                <w:rFonts w:ascii="仿宋_GB2312" w:hAnsi="仿宋_GB2312" w:cs="仿宋_GB2312" w:eastAsia="仿宋_GB2312"/>
                <w:sz w:val="24"/>
                <w:color w:val="000000"/>
              </w:rPr>
              <w:t>合同履行时间（期限）：</w:t>
            </w:r>
            <w:r>
              <w:rPr>
                <w:rFonts w:ascii="仿宋_GB2312" w:hAnsi="仿宋_GB2312" w:cs="仿宋_GB2312" w:eastAsia="仿宋_GB2312"/>
                <w:sz w:val="24"/>
                <w:color w:val="000000"/>
              </w:rPr>
              <w:t>自合同签订之日起到</w:t>
            </w:r>
            <w:r>
              <w:rPr>
                <w:rFonts w:ascii="仿宋_GB2312" w:hAnsi="仿宋_GB2312" w:cs="仿宋_GB2312" w:eastAsia="仿宋_GB2312"/>
                <w:sz w:val="24"/>
                <w:color w:val="000000"/>
              </w:rPr>
              <w:t xml:space="preserve">2025年8月12号         </w:t>
            </w:r>
          </w:p>
          <w:p>
            <w:pPr>
              <w:pStyle w:val="null3"/>
              <w:numPr>
                <w:ilvl w:val="0"/>
                <w:numId w:val="1"/>
              </w:numPr>
              <w:jc w:val="left"/>
            </w:pPr>
            <w:r>
              <w:rPr>
                <w:rFonts w:ascii="仿宋_GB2312" w:hAnsi="仿宋_GB2312" w:cs="仿宋_GB2312" w:eastAsia="仿宋_GB2312"/>
                <w:sz w:val="24"/>
                <w:color w:val="000000"/>
              </w:rPr>
              <w:t>合同履约地点和方式：三原县体育活动中心</w:t>
            </w:r>
            <w:r>
              <w:rPr>
                <w:rFonts w:ascii="仿宋_GB2312" w:hAnsi="仿宋_GB2312" w:cs="仿宋_GB2312" w:eastAsia="仿宋_GB2312"/>
                <w:sz w:val="24"/>
                <w:color w:val="000000"/>
              </w:rPr>
              <w:t xml:space="preserve">  </w:t>
            </w:r>
          </w:p>
          <w:p>
            <w:pPr>
              <w:pStyle w:val="null3"/>
              <w:numPr>
                <w:ilvl w:val="0"/>
                <w:numId w:val="1"/>
              </w:numPr>
              <w:jc w:val="left"/>
            </w:pPr>
            <w:r>
              <w:rPr>
                <w:rFonts w:ascii="仿宋_GB2312" w:hAnsi="仿宋_GB2312" w:cs="仿宋_GB2312" w:eastAsia="仿宋_GB2312"/>
                <w:sz w:val="24"/>
                <w:color w:val="000000"/>
              </w:rPr>
              <w:t>其他商务要求（包装和运输、保险等）本次报价须为人民币报价，包含人工、材料、差旅、运输、安装、拆除、税收、管理等费用</w:t>
            </w:r>
          </w:p>
          <w:p>
            <w:pPr>
              <w:pStyle w:val="null3"/>
              <w:numPr>
                <w:ilvl w:val="0"/>
                <w:numId w:val="1"/>
              </w:numPr>
              <w:jc w:val="left"/>
            </w:pPr>
            <w:r>
              <w:rPr>
                <w:rFonts w:ascii="仿宋_GB2312" w:hAnsi="仿宋_GB2312" w:cs="仿宋_GB2312" w:eastAsia="仿宋_GB2312"/>
                <w:sz w:val="24"/>
                <w:color w:val="000000"/>
              </w:rPr>
              <w:t>售后服务要求</w:t>
            </w:r>
          </w:p>
          <w:p>
            <w:pPr>
              <w:pStyle w:val="null3"/>
              <w:jc w:val="left"/>
            </w:pPr>
            <w:r>
              <w:rPr>
                <w:rFonts w:ascii="仿宋_GB2312" w:hAnsi="仿宋_GB2312" w:cs="仿宋_GB2312" w:eastAsia="仿宋_GB2312"/>
                <w:sz w:val="24"/>
                <w:color w:val="000000"/>
              </w:rPr>
              <w:t>响应单位</w:t>
            </w:r>
            <w:r>
              <w:rPr>
                <w:rFonts w:ascii="仿宋_GB2312" w:hAnsi="仿宋_GB2312" w:cs="仿宋_GB2312" w:eastAsia="仿宋_GB2312"/>
                <w:sz w:val="24"/>
                <w:color w:val="000000"/>
              </w:rPr>
              <w:t>提供服务时，服务要求应按不低于国家、省、市有关部门规定的质量标准执行。承诺与拟投入人员均有劳动合同或聘用协议。承诺拟投入人员工资不低于国家、省、市规定的最低工资标准。</w:t>
            </w:r>
            <w:r>
              <w:rPr>
                <w:rFonts w:ascii="仿宋_GB2312" w:hAnsi="仿宋_GB2312" w:cs="仿宋_GB2312" w:eastAsia="仿宋_GB2312"/>
                <w:sz w:val="24"/>
                <w:color w:val="000000"/>
              </w:rPr>
              <w:t>响应单位</w:t>
            </w:r>
            <w:r>
              <w:rPr>
                <w:rFonts w:ascii="仿宋_GB2312" w:hAnsi="仿宋_GB2312" w:cs="仿宋_GB2312" w:eastAsia="仿宋_GB2312"/>
                <w:sz w:val="24"/>
                <w:color w:val="000000"/>
              </w:rPr>
              <w:t>应保证所提供的服务时免受第三方提出的侵犯其专利权或其它知识产权的起诉。如果第三方提出侵权指控，</w:t>
            </w:r>
            <w:r>
              <w:rPr>
                <w:rFonts w:ascii="仿宋_GB2312" w:hAnsi="仿宋_GB2312" w:cs="仿宋_GB2312" w:eastAsia="仿宋_GB2312"/>
                <w:sz w:val="24"/>
                <w:color w:val="000000"/>
              </w:rPr>
              <w:t>响应单位</w:t>
            </w:r>
            <w:r>
              <w:rPr>
                <w:rFonts w:ascii="仿宋_GB2312" w:hAnsi="仿宋_GB2312" w:cs="仿宋_GB2312" w:eastAsia="仿宋_GB2312"/>
                <w:sz w:val="24"/>
                <w:color w:val="000000"/>
              </w:rPr>
              <w:t>应承担由此而引起的一切法律责任和费用。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00"/>
              </w:rPr>
              <w:t>一、文艺展演方案</w:t>
            </w:r>
          </w:p>
          <w:p>
            <w:pPr>
              <w:pStyle w:val="null3"/>
              <w:jc w:val="left"/>
            </w:pPr>
            <w:r>
              <w:rPr>
                <w:rFonts w:ascii="仿宋_GB2312" w:hAnsi="仿宋_GB2312" w:cs="仿宋_GB2312" w:eastAsia="仿宋_GB2312"/>
                <w:sz w:val="24"/>
                <w:color w:val="000000"/>
              </w:rPr>
              <w:t>第一篇章：《红拳传承，李靖育英》</w:t>
            </w:r>
          </w:p>
          <w:p>
            <w:pPr>
              <w:pStyle w:val="null3"/>
              <w:jc w:val="left"/>
            </w:pPr>
            <w:r>
              <w:rPr>
                <w:rFonts w:ascii="仿宋_GB2312" w:hAnsi="仿宋_GB2312" w:cs="仿宋_GB2312" w:eastAsia="仿宋_GB2312"/>
                <w:sz w:val="24"/>
                <w:color w:val="000000"/>
              </w:rPr>
              <w:t>戏剧演员：</w:t>
            </w:r>
            <w:r>
              <w:rPr>
                <w:rFonts w:ascii="仿宋_GB2312" w:hAnsi="仿宋_GB2312" w:cs="仿宋_GB2312" w:eastAsia="仿宋_GB2312"/>
                <w:sz w:val="24"/>
                <w:color w:val="000000"/>
              </w:rPr>
              <w:t>2人</w:t>
            </w:r>
          </w:p>
          <w:p>
            <w:pPr>
              <w:pStyle w:val="null3"/>
              <w:jc w:val="left"/>
            </w:pPr>
            <w:r>
              <w:rPr>
                <w:rFonts w:ascii="仿宋_GB2312" w:hAnsi="仿宋_GB2312" w:cs="仿宋_GB2312" w:eastAsia="仿宋_GB2312"/>
                <w:sz w:val="24"/>
                <w:color w:val="000000"/>
              </w:rPr>
              <w:t>哪吒及兄弟：</w:t>
            </w:r>
            <w:r>
              <w:rPr>
                <w:rFonts w:ascii="仿宋_GB2312" w:hAnsi="仿宋_GB2312" w:cs="仿宋_GB2312" w:eastAsia="仿宋_GB2312"/>
                <w:sz w:val="24"/>
                <w:color w:val="000000"/>
              </w:rPr>
              <w:t>3人</w:t>
            </w:r>
          </w:p>
          <w:p>
            <w:pPr>
              <w:pStyle w:val="null3"/>
              <w:jc w:val="left"/>
            </w:pPr>
            <w:r>
              <w:rPr>
                <w:rFonts w:ascii="仿宋_GB2312" w:hAnsi="仿宋_GB2312" w:cs="仿宋_GB2312" w:eastAsia="仿宋_GB2312"/>
                <w:sz w:val="24"/>
                <w:color w:val="000000"/>
              </w:rPr>
              <w:t>群演红拳小孩：</w:t>
            </w:r>
            <w:r>
              <w:rPr>
                <w:rFonts w:ascii="仿宋_GB2312" w:hAnsi="仿宋_GB2312" w:cs="仿宋_GB2312" w:eastAsia="仿宋_GB2312"/>
                <w:sz w:val="24"/>
                <w:color w:val="000000"/>
              </w:rPr>
              <w:t>60人</w:t>
            </w:r>
          </w:p>
          <w:p>
            <w:pPr>
              <w:pStyle w:val="null3"/>
              <w:jc w:val="left"/>
            </w:pPr>
            <w:r>
              <w:rPr>
                <w:rFonts w:ascii="仿宋_GB2312" w:hAnsi="仿宋_GB2312" w:cs="仿宋_GB2312" w:eastAsia="仿宋_GB2312"/>
                <w:sz w:val="24"/>
                <w:color w:val="000000"/>
              </w:rPr>
              <w:t>第二篇章：情景武术表演《战鼓响起，李靖点兵》</w:t>
            </w:r>
          </w:p>
          <w:p>
            <w:pPr>
              <w:pStyle w:val="null3"/>
              <w:jc w:val="left"/>
            </w:pPr>
            <w:r>
              <w:rPr>
                <w:rFonts w:ascii="仿宋_GB2312" w:hAnsi="仿宋_GB2312" w:cs="仿宋_GB2312" w:eastAsia="仿宋_GB2312"/>
                <w:sz w:val="24"/>
                <w:color w:val="000000"/>
              </w:rPr>
              <w:t>戏剧演员：</w:t>
            </w:r>
            <w:r>
              <w:rPr>
                <w:rFonts w:ascii="仿宋_GB2312" w:hAnsi="仿宋_GB2312" w:cs="仿宋_GB2312" w:eastAsia="仿宋_GB2312"/>
                <w:sz w:val="24"/>
                <w:color w:val="000000"/>
              </w:rPr>
              <w:t>1人</w:t>
            </w:r>
          </w:p>
          <w:p>
            <w:pPr>
              <w:pStyle w:val="null3"/>
              <w:jc w:val="left"/>
            </w:pPr>
            <w:r>
              <w:rPr>
                <w:rFonts w:ascii="仿宋_GB2312" w:hAnsi="仿宋_GB2312" w:cs="仿宋_GB2312" w:eastAsia="仿宋_GB2312"/>
                <w:sz w:val="24"/>
                <w:color w:val="000000"/>
              </w:rPr>
              <w:t>哪吒：</w:t>
            </w:r>
            <w:r>
              <w:rPr>
                <w:rFonts w:ascii="仿宋_GB2312" w:hAnsi="仿宋_GB2312" w:cs="仿宋_GB2312" w:eastAsia="仿宋_GB2312"/>
                <w:sz w:val="24"/>
                <w:color w:val="000000"/>
              </w:rPr>
              <w:t>1人</w:t>
            </w:r>
          </w:p>
          <w:p>
            <w:pPr>
              <w:pStyle w:val="null3"/>
              <w:jc w:val="left"/>
            </w:pPr>
            <w:r>
              <w:rPr>
                <w:rFonts w:ascii="仿宋_GB2312" w:hAnsi="仿宋_GB2312" w:cs="仿宋_GB2312" w:eastAsia="仿宋_GB2312"/>
                <w:sz w:val="24"/>
                <w:color w:val="000000"/>
              </w:rPr>
              <w:t>武术演员：</w:t>
            </w:r>
            <w:r>
              <w:rPr>
                <w:rFonts w:ascii="仿宋_GB2312" w:hAnsi="仿宋_GB2312" w:cs="仿宋_GB2312" w:eastAsia="仿宋_GB2312"/>
                <w:sz w:val="24"/>
                <w:color w:val="000000"/>
              </w:rPr>
              <w:t>80人</w:t>
            </w:r>
          </w:p>
          <w:p>
            <w:pPr>
              <w:pStyle w:val="null3"/>
              <w:jc w:val="left"/>
            </w:pPr>
            <w:r>
              <w:rPr>
                <w:rFonts w:ascii="仿宋_GB2312" w:hAnsi="仿宋_GB2312" w:cs="仿宋_GB2312" w:eastAsia="仿宋_GB2312"/>
                <w:sz w:val="24"/>
                <w:color w:val="000000"/>
              </w:rPr>
              <w:t>第三篇章：《鼓乐华章，战胜归来》</w:t>
            </w:r>
          </w:p>
          <w:p>
            <w:pPr>
              <w:pStyle w:val="null3"/>
              <w:jc w:val="left"/>
            </w:pPr>
            <w:r>
              <w:rPr>
                <w:rFonts w:ascii="仿宋_GB2312" w:hAnsi="仿宋_GB2312" w:cs="仿宋_GB2312" w:eastAsia="仿宋_GB2312"/>
                <w:sz w:val="24"/>
                <w:color w:val="000000"/>
              </w:rPr>
              <w:t>鼓乐演出团队：</w:t>
            </w:r>
            <w:r>
              <w:rPr>
                <w:rFonts w:ascii="仿宋_GB2312" w:hAnsi="仿宋_GB2312" w:cs="仿宋_GB2312" w:eastAsia="仿宋_GB2312"/>
                <w:sz w:val="24"/>
                <w:color w:val="000000"/>
              </w:rPr>
              <w:t>28人</w:t>
            </w:r>
          </w:p>
          <w:p>
            <w:pPr>
              <w:pStyle w:val="null3"/>
              <w:jc w:val="left"/>
            </w:pPr>
            <w:r>
              <w:rPr>
                <w:rFonts w:ascii="仿宋_GB2312" w:hAnsi="仿宋_GB2312" w:cs="仿宋_GB2312" w:eastAsia="仿宋_GB2312"/>
                <w:sz w:val="24"/>
                <w:color w:val="000000"/>
              </w:rPr>
              <w:t>群众戏剧演员：</w:t>
            </w:r>
            <w:r>
              <w:rPr>
                <w:rFonts w:ascii="仿宋_GB2312" w:hAnsi="仿宋_GB2312" w:cs="仿宋_GB2312" w:eastAsia="仿宋_GB2312"/>
                <w:sz w:val="24"/>
                <w:color w:val="000000"/>
              </w:rPr>
              <w:t>16人</w:t>
            </w:r>
          </w:p>
          <w:p>
            <w:pPr>
              <w:pStyle w:val="null3"/>
              <w:jc w:val="left"/>
            </w:pPr>
            <w:r>
              <w:rPr>
                <w:rFonts w:ascii="仿宋_GB2312" w:hAnsi="仿宋_GB2312" w:cs="仿宋_GB2312" w:eastAsia="仿宋_GB2312"/>
                <w:sz w:val="24"/>
                <w:color w:val="000000"/>
              </w:rPr>
              <w:t>舞蹈演员：</w:t>
            </w:r>
            <w:r>
              <w:rPr>
                <w:rFonts w:ascii="仿宋_GB2312" w:hAnsi="仿宋_GB2312" w:cs="仿宋_GB2312" w:eastAsia="仿宋_GB2312"/>
                <w:sz w:val="24"/>
                <w:color w:val="000000"/>
              </w:rPr>
              <w:t>16人</w:t>
            </w:r>
          </w:p>
          <w:p>
            <w:pPr>
              <w:pStyle w:val="null3"/>
              <w:jc w:val="left"/>
            </w:pPr>
            <w:r>
              <w:rPr>
                <w:rFonts w:ascii="仿宋_GB2312" w:hAnsi="仿宋_GB2312" w:cs="仿宋_GB2312" w:eastAsia="仿宋_GB2312"/>
                <w:sz w:val="24"/>
                <w:color w:val="000000"/>
              </w:rPr>
              <w:t>哪吒父子：</w:t>
            </w:r>
            <w:r>
              <w:rPr>
                <w:rFonts w:ascii="仿宋_GB2312" w:hAnsi="仿宋_GB2312" w:cs="仿宋_GB2312" w:eastAsia="仿宋_GB2312"/>
                <w:sz w:val="24"/>
                <w:color w:val="000000"/>
              </w:rPr>
              <w:t>2人</w:t>
            </w:r>
          </w:p>
          <w:p>
            <w:pPr>
              <w:pStyle w:val="null3"/>
              <w:jc w:val="left"/>
            </w:pPr>
            <w:r>
              <w:rPr>
                <w:rFonts w:ascii="仿宋_GB2312" w:hAnsi="仿宋_GB2312" w:cs="仿宋_GB2312" w:eastAsia="仿宋_GB2312"/>
                <w:sz w:val="24"/>
                <w:color w:val="000000"/>
              </w:rPr>
              <w:t>第四篇章：诗颂雅韵</w:t>
            </w:r>
          </w:p>
          <w:p>
            <w:pPr>
              <w:pStyle w:val="null3"/>
              <w:jc w:val="left"/>
            </w:pPr>
            <w:r>
              <w:rPr>
                <w:rFonts w:ascii="仿宋_GB2312" w:hAnsi="仿宋_GB2312" w:cs="仿宋_GB2312" w:eastAsia="仿宋_GB2312"/>
                <w:sz w:val="24"/>
                <w:color w:val="000000"/>
              </w:rPr>
              <w:t>鼓乐演出团队：</w:t>
            </w:r>
            <w:r>
              <w:rPr>
                <w:rFonts w:ascii="仿宋_GB2312" w:hAnsi="仿宋_GB2312" w:cs="仿宋_GB2312" w:eastAsia="仿宋_GB2312"/>
                <w:sz w:val="24"/>
                <w:color w:val="000000"/>
              </w:rPr>
              <w:t>18人</w:t>
            </w:r>
          </w:p>
          <w:p>
            <w:pPr>
              <w:pStyle w:val="null3"/>
              <w:jc w:val="left"/>
            </w:pPr>
            <w:r>
              <w:rPr>
                <w:rFonts w:ascii="仿宋_GB2312" w:hAnsi="仿宋_GB2312" w:cs="仿宋_GB2312" w:eastAsia="仿宋_GB2312"/>
                <w:sz w:val="24"/>
                <w:color w:val="000000"/>
              </w:rPr>
              <w:t>群众戏剧演员：</w:t>
            </w:r>
            <w:r>
              <w:rPr>
                <w:rFonts w:ascii="仿宋_GB2312" w:hAnsi="仿宋_GB2312" w:cs="仿宋_GB2312" w:eastAsia="仿宋_GB2312"/>
                <w:sz w:val="24"/>
                <w:color w:val="000000"/>
              </w:rPr>
              <w:t>16人</w:t>
            </w:r>
          </w:p>
          <w:p>
            <w:pPr>
              <w:pStyle w:val="null3"/>
              <w:jc w:val="left"/>
            </w:pPr>
            <w:r>
              <w:rPr>
                <w:rFonts w:ascii="仿宋_GB2312" w:hAnsi="仿宋_GB2312" w:cs="仿宋_GB2312" w:eastAsia="仿宋_GB2312"/>
                <w:sz w:val="24"/>
                <w:color w:val="000000"/>
              </w:rPr>
              <w:t>哪吒父子：</w:t>
            </w:r>
            <w:r>
              <w:rPr>
                <w:rFonts w:ascii="仿宋_GB2312" w:hAnsi="仿宋_GB2312" w:cs="仿宋_GB2312" w:eastAsia="仿宋_GB2312"/>
                <w:sz w:val="24"/>
                <w:color w:val="000000"/>
              </w:rPr>
              <w:t>2人</w:t>
            </w:r>
          </w:p>
          <w:p>
            <w:pPr>
              <w:pStyle w:val="null3"/>
              <w:jc w:val="left"/>
            </w:pPr>
            <w:r>
              <w:rPr>
                <w:rFonts w:ascii="仿宋_GB2312" w:hAnsi="仿宋_GB2312" w:cs="仿宋_GB2312" w:eastAsia="仿宋_GB2312"/>
                <w:sz w:val="24"/>
                <w:color w:val="000000"/>
              </w:rPr>
              <w:t>诗词朗诵、书法展示：</w:t>
            </w:r>
            <w:r>
              <w:rPr>
                <w:rFonts w:ascii="仿宋_GB2312" w:hAnsi="仿宋_GB2312" w:cs="仿宋_GB2312" w:eastAsia="仿宋_GB2312"/>
                <w:sz w:val="24"/>
                <w:color w:val="000000"/>
              </w:rPr>
              <w:t>8人</w:t>
            </w:r>
          </w:p>
          <w:p>
            <w:pPr>
              <w:pStyle w:val="null3"/>
              <w:jc w:val="left"/>
            </w:pPr>
            <w:r>
              <w:rPr>
                <w:rFonts w:ascii="仿宋_GB2312" w:hAnsi="仿宋_GB2312" w:cs="仿宋_GB2312" w:eastAsia="仿宋_GB2312"/>
                <w:sz w:val="24"/>
                <w:color w:val="000000"/>
              </w:rPr>
              <w:t>第五篇章：全民广场舞《小哪吒穿越时空的温馨邂逅》</w:t>
            </w:r>
          </w:p>
          <w:p>
            <w:pPr>
              <w:pStyle w:val="null3"/>
              <w:jc w:val="left"/>
            </w:pPr>
            <w:r>
              <w:rPr>
                <w:rFonts w:ascii="仿宋_GB2312" w:hAnsi="仿宋_GB2312" w:cs="仿宋_GB2312" w:eastAsia="仿宋_GB2312"/>
                <w:sz w:val="24"/>
                <w:color w:val="000000"/>
              </w:rPr>
              <w:t>哪吒：</w:t>
            </w:r>
            <w:r>
              <w:rPr>
                <w:rFonts w:ascii="仿宋_GB2312" w:hAnsi="仿宋_GB2312" w:cs="仿宋_GB2312" w:eastAsia="仿宋_GB2312"/>
                <w:sz w:val="24"/>
                <w:color w:val="000000"/>
              </w:rPr>
              <w:t>1人</w:t>
            </w:r>
          </w:p>
          <w:p>
            <w:pPr>
              <w:pStyle w:val="null3"/>
              <w:jc w:val="left"/>
            </w:pPr>
            <w:r>
              <w:rPr>
                <w:rFonts w:ascii="仿宋_GB2312" w:hAnsi="仿宋_GB2312" w:cs="仿宋_GB2312" w:eastAsia="仿宋_GB2312"/>
                <w:sz w:val="24"/>
                <w:color w:val="000000"/>
              </w:rPr>
              <w:t>广场舞：</w:t>
            </w:r>
            <w:r>
              <w:rPr>
                <w:rFonts w:ascii="仿宋_GB2312" w:hAnsi="仿宋_GB2312" w:cs="仿宋_GB2312" w:eastAsia="仿宋_GB2312"/>
                <w:sz w:val="24"/>
                <w:color w:val="000000"/>
              </w:rPr>
              <w:t>100人</w:t>
            </w:r>
          </w:p>
          <w:p>
            <w:pPr>
              <w:pStyle w:val="null3"/>
              <w:jc w:val="left"/>
            </w:pPr>
            <w:r>
              <w:rPr>
                <w:rFonts w:ascii="仿宋_GB2312" w:hAnsi="仿宋_GB2312" w:cs="仿宋_GB2312" w:eastAsia="仿宋_GB2312"/>
                <w:sz w:val="24"/>
                <w:color w:val="000000"/>
              </w:rPr>
              <w:t>第六篇章：街舞表演《说唱</w:t>
            </w:r>
            <w:r>
              <w:rPr>
                <w:rFonts w:ascii="仿宋_GB2312" w:hAnsi="仿宋_GB2312" w:cs="仿宋_GB2312" w:eastAsia="仿宋_GB2312"/>
                <w:sz w:val="24"/>
                <w:color w:val="000000"/>
              </w:rPr>
              <w:t>Rap赞三原》</w:t>
            </w:r>
          </w:p>
          <w:p>
            <w:pPr>
              <w:pStyle w:val="null3"/>
              <w:jc w:val="left"/>
            </w:pPr>
            <w:r>
              <w:rPr>
                <w:rFonts w:ascii="仿宋_GB2312" w:hAnsi="仿宋_GB2312" w:cs="仿宋_GB2312" w:eastAsia="仿宋_GB2312"/>
                <w:sz w:val="24"/>
                <w:color w:val="000000"/>
              </w:rPr>
              <w:t>街舞演员：</w:t>
            </w:r>
            <w:r>
              <w:rPr>
                <w:rFonts w:ascii="仿宋_GB2312" w:hAnsi="仿宋_GB2312" w:cs="仿宋_GB2312" w:eastAsia="仿宋_GB2312"/>
                <w:sz w:val="24"/>
                <w:color w:val="000000"/>
              </w:rPr>
              <w:t>30人</w:t>
            </w:r>
          </w:p>
          <w:p>
            <w:pPr>
              <w:pStyle w:val="null3"/>
              <w:jc w:val="left"/>
            </w:pPr>
            <w:r>
              <w:rPr>
                <w:rFonts w:ascii="仿宋_GB2312" w:hAnsi="仿宋_GB2312" w:cs="仿宋_GB2312" w:eastAsia="仿宋_GB2312"/>
                <w:sz w:val="24"/>
                <w:color w:val="000000"/>
              </w:rPr>
              <w:t>啦啦操演员：</w:t>
            </w:r>
            <w:r>
              <w:rPr>
                <w:rFonts w:ascii="仿宋_GB2312" w:hAnsi="仿宋_GB2312" w:cs="仿宋_GB2312" w:eastAsia="仿宋_GB2312"/>
                <w:sz w:val="24"/>
                <w:color w:val="000000"/>
              </w:rPr>
              <w:t>20人</w:t>
            </w:r>
          </w:p>
          <w:p>
            <w:pPr>
              <w:pStyle w:val="null3"/>
              <w:jc w:val="left"/>
            </w:pPr>
            <w:r>
              <w:rPr>
                <w:rFonts w:ascii="仿宋_GB2312" w:hAnsi="仿宋_GB2312" w:cs="仿宋_GB2312" w:eastAsia="仿宋_GB2312"/>
                <w:sz w:val="24"/>
                <w:color w:val="000000"/>
              </w:rPr>
              <w:t>拉丁演员：</w:t>
            </w:r>
            <w:r>
              <w:rPr>
                <w:rFonts w:ascii="仿宋_GB2312" w:hAnsi="仿宋_GB2312" w:cs="仿宋_GB2312" w:eastAsia="仿宋_GB2312"/>
                <w:sz w:val="24"/>
                <w:color w:val="000000"/>
              </w:rPr>
              <w:t>40人</w:t>
            </w:r>
          </w:p>
          <w:p>
            <w:pPr>
              <w:pStyle w:val="null3"/>
              <w:numPr>
                <w:ilvl w:val="0"/>
                <w:numId w:val="2"/>
              </w:numPr>
              <w:jc w:val="left"/>
            </w:pPr>
            <w:r>
              <w:rPr>
                <w:rFonts w:ascii="仿宋_GB2312" w:hAnsi="仿宋_GB2312" w:cs="仿宋_GB2312" w:eastAsia="仿宋_GB2312"/>
                <w:sz w:val="24"/>
                <w:color w:val="000000"/>
              </w:rPr>
              <w:t>舞美设计方案及阐述</w:t>
            </w:r>
          </w:p>
          <w:p>
            <w:pPr>
              <w:pStyle w:val="null3"/>
              <w:jc w:val="left"/>
            </w:pPr>
            <w:r>
              <w:rPr>
                <w:rFonts w:ascii="仿宋_GB2312" w:hAnsi="仿宋_GB2312" w:cs="仿宋_GB2312" w:eastAsia="仿宋_GB2312"/>
                <w:sz w:val="24"/>
                <w:color w:val="000000"/>
              </w:rPr>
              <w:t>本方案旨在通过精心策划与创新设计，为参赛选手与观众呈现一场兼具传统韵味与现代审美的视觉盛宴，充分展现红拳文化的独特魅力与深厚底蕴。</w:t>
            </w:r>
          </w:p>
          <w:p>
            <w:pPr>
              <w:pStyle w:val="null3"/>
              <w:jc w:val="left"/>
            </w:pPr>
            <w:r>
              <w:rPr>
                <w:rFonts w:ascii="仿宋_GB2312" w:hAnsi="仿宋_GB2312" w:cs="仿宋_GB2312" w:eastAsia="仿宋_GB2312"/>
                <w:sz w:val="24"/>
                <w:color w:val="000000"/>
              </w:rPr>
              <w:t>一、设计理念</w:t>
            </w:r>
          </w:p>
          <w:p>
            <w:pPr>
              <w:pStyle w:val="null3"/>
              <w:jc w:val="left"/>
            </w:pPr>
            <w:r>
              <w:rPr>
                <w:rFonts w:ascii="仿宋_GB2312" w:hAnsi="仿宋_GB2312" w:cs="仿宋_GB2312" w:eastAsia="仿宋_GB2312"/>
                <w:sz w:val="24"/>
                <w:color w:val="000000"/>
              </w:rPr>
              <w:t>本次舞美设计以</w:t>
            </w:r>
            <w:r>
              <w:rPr>
                <w:rFonts w:ascii="仿宋_GB2312" w:hAnsi="仿宋_GB2312" w:cs="仿宋_GB2312" w:eastAsia="仿宋_GB2312"/>
                <w:sz w:val="24"/>
                <w:color w:val="000000"/>
              </w:rPr>
              <w:t>“传承·创新·荣耀”为核心理念，旨在通过舞台布景、灯光效果、音响配置及视频呈现等多维度手段，将红拳的历史传承与现代发展紧密融合，凸显红拳作为中国传统武术瑰宝的独特地位，同时激发年轻一代对传统文化的兴趣与热爱。</w:t>
            </w:r>
          </w:p>
          <w:p>
            <w:pPr>
              <w:pStyle w:val="null3"/>
              <w:jc w:val="left"/>
            </w:pPr>
            <w:r>
              <w:rPr>
                <w:rFonts w:ascii="仿宋_GB2312" w:hAnsi="仿宋_GB2312" w:cs="仿宋_GB2312" w:eastAsia="仿宋_GB2312"/>
                <w:sz w:val="24"/>
                <w:color w:val="000000"/>
              </w:rPr>
              <w:t>文化传承：借助传统元素，如红色和金色主题色彩，体现红拳的勇敢与辉煌，同时融入与三原本地相关的符号、图案。</w:t>
            </w:r>
          </w:p>
          <w:p>
            <w:pPr>
              <w:pStyle w:val="null3"/>
              <w:jc w:val="left"/>
            </w:pPr>
            <w:r>
              <w:rPr>
                <w:rFonts w:ascii="仿宋_GB2312" w:hAnsi="仿宋_GB2312" w:cs="仿宋_GB2312" w:eastAsia="仿宋_GB2312"/>
                <w:sz w:val="24"/>
                <w:color w:val="000000"/>
              </w:rPr>
              <w:t>简约大方：以简约为主，突出武术表演和文艺展演的自然美和力量美，避免复杂的布景干扰观众的视线与情感。</w:t>
            </w:r>
          </w:p>
          <w:p>
            <w:pPr>
              <w:pStyle w:val="null3"/>
              <w:jc w:val="left"/>
            </w:pPr>
            <w:r>
              <w:rPr>
                <w:rFonts w:ascii="仿宋_GB2312" w:hAnsi="仿宋_GB2312" w:cs="仿宋_GB2312" w:eastAsia="仿宋_GB2312"/>
                <w:sz w:val="24"/>
                <w:color w:val="000000"/>
              </w:rPr>
              <w:t>科技与艺术结合：运用现代科技手段，</w:t>
            </w:r>
            <w:r>
              <w:rPr>
                <w:rFonts w:ascii="仿宋_GB2312" w:hAnsi="仿宋_GB2312" w:cs="仿宋_GB2312" w:eastAsia="仿宋_GB2312"/>
                <w:sz w:val="24"/>
                <w:color w:val="000000"/>
              </w:rPr>
              <w:t>LED大屏、动态灯光、音效设计等，塑造气氛，为演出增添活力和现代感。</w:t>
            </w:r>
          </w:p>
          <w:p>
            <w:pPr>
              <w:pStyle w:val="null3"/>
              <w:jc w:val="left"/>
            </w:pPr>
            <w:r>
              <w:rPr>
                <w:rFonts w:ascii="仿宋_GB2312" w:hAnsi="仿宋_GB2312" w:cs="仿宋_GB2312" w:eastAsia="仿宋_GB2312"/>
                <w:sz w:val="24"/>
                <w:color w:val="000000"/>
              </w:rPr>
              <w:t>二、舞台布局</w:t>
            </w:r>
          </w:p>
          <w:p>
            <w:pPr>
              <w:pStyle w:val="null3"/>
              <w:jc w:val="left"/>
            </w:pPr>
            <w:r>
              <w:rPr>
                <w:rFonts w:ascii="仿宋_GB2312" w:hAnsi="仿宋_GB2312" w:cs="仿宋_GB2312" w:eastAsia="仿宋_GB2312"/>
                <w:sz w:val="24"/>
                <w:color w:val="000000"/>
              </w:rPr>
              <w:t>（一）舞台形状：采用所层台型设计，舞台中央中心表演区，方便不同方向的观众观看表演。</w:t>
            </w:r>
          </w:p>
          <w:p>
            <w:pPr>
              <w:pStyle w:val="null3"/>
              <w:jc w:val="left"/>
            </w:pPr>
            <w:r>
              <w:rPr>
                <w:rFonts w:ascii="仿宋_GB2312" w:hAnsi="仿宋_GB2312" w:cs="仿宋_GB2312" w:eastAsia="仿宋_GB2312"/>
                <w:sz w:val="24"/>
                <w:color w:val="000000"/>
              </w:rPr>
              <w:t>（二）层次感：分为多个层级，利用异形结构，既可设置表演区，又可设置互动区、展示区。</w:t>
            </w:r>
          </w:p>
          <w:p>
            <w:pPr>
              <w:pStyle w:val="null3"/>
              <w:jc w:val="left"/>
            </w:pPr>
            <w:r>
              <w:rPr>
                <w:rFonts w:ascii="仿宋_GB2312" w:hAnsi="仿宋_GB2312" w:cs="仿宋_GB2312" w:eastAsia="仿宋_GB2312"/>
                <w:sz w:val="24"/>
                <w:color w:val="000000"/>
              </w:rPr>
              <w:t>（三）背景设计：</w:t>
            </w:r>
          </w:p>
          <w:p>
            <w:pPr>
              <w:pStyle w:val="null3"/>
              <w:jc w:val="left"/>
            </w:pPr>
            <w:r>
              <w:rPr>
                <w:rFonts w:ascii="仿宋_GB2312" w:hAnsi="仿宋_GB2312" w:cs="仿宋_GB2312" w:eastAsia="仿宋_GB2312"/>
                <w:sz w:val="24"/>
                <w:color w:val="000000"/>
              </w:rPr>
              <w:t>1.大屏显示：后期将使用LED屏幕，显示与红拳相关的动态影像与背景，强调武术的文化内涵。</w:t>
            </w:r>
          </w:p>
          <w:p>
            <w:pPr>
              <w:pStyle w:val="null3"/>
              <w:jc w:val="left"/>
            </w:pPr>
            <w:r>
              <w:rPr>
                <w:rFonts w:ascii="仿宋_GB2312" w:hAnsi="仿宋_GB2312" w:cs="仿宋_GB2312" w:eastAsia="仿宋_GB2312"/>
                <w:sz w:val="24"/>
                <w:color w:val="000000"/>
              </w:rPr>
              <w:t>2.立体道具：可运用立体道具充分展示节目内容，增加表演层次，例如以书法形式展示红拳的传承故事。</w:t>
            </w:r>
          </w:p>
          <w:p>
            <w:pPr>
              <w:pStyle w:val="null3"/>
              <w:jc w:val="left"/>
            </w:pPr>
            <w:r>
              <w:rPr>
                <w:rFonts w:ascii="仿宋_GB2312" w:hAnsi="仿宋_GB2312" w:cs="仿宋_GB2312" w:eastAsia="仿宋_GB2312"/>
                <w:sz w:val="24"/>
                <w:color w:val="000000"/>
              </w:rPr>
              <w:t>三、灯光音响</w:t>
            </w:r>
          </w:p>
          <w:p>
            <w:pPr>
              <w:pStyle w:val="null3"/>
              <w:jc w:val="left"/>
            </w:pPr>
            <w:r>
              <w:rPr>
                <w:rFonts w:ascii="仿宋_GB2312" w:hAnsi="仿宋_GB2312" w:cs="仿宋_GB2312" w:eastAsia="仿宋_GB2312"/>
                <w:sz w:val="24"/>
                <w:color w:val="000000"/>
              </w:rPr>
              <w:t>（一）灯光设计：采用智能灯光系统，结合表演内容与节奏，灵活运用色彩变换与光影效果，营造出从晨曦初照到夜幕降临的自然过渡，既体现红拳的刚劲有力，又不失柔美与和谐。</w:t>
            </w:r>
          </w:p>
          <w:p>
            <w:pPr>
              <w:pStyle w:val="null3"/>
              <w:jc w:val="left"/>
            </w:pPr>
            <w:r>
              <w:rPr>
                <w:rFonts w:ascii="仿宋_GB2312" w:hAnsi="仿宋_GB2312" w:cs="仿宋_GB2312" w:eastAsia="仿宋_GB2312"/>
                <w:sz w:val="24"/>
                <w:color w:val="000000"/>
              </w:rPr>
              <w:t>（二）音响配置：采用高保真音响系统，确保现场音效清晰、震撼，特别为武术表演的拳风声、脚步声设计增强效果，让观众仿佛置身于真实的武术对决之中，增强沉浸感。</w:t>
            </w:r>
          </w:p>
          <w:p>
            <w:pPr>
              <w:pStyle w:val="null3"/>
              <w:jc w:val="left"/>
            </w:pPr>
            <w:r>
              <w:rPr>
                <w:rFonts w:ascii="仿宋_GB2312" w:hAnsi="仿宋_GB2312" w:cs="仿宋_GB2312" w:eastAsia="仿宋_GB2312"/>
                <w:sz w:val="24"/>
                <w:color w:val="000000"/>
              </w:rPr>
              <w:t>四、视频呈现</w:t>
            </w:r>
          </w:p>
          <w:p>
            <w:pPr>
              <w:pStyle w:val="null3"/>
              <w:jc w:val="left"/>
            </w:pPr>
            <w:r>
              <w:rPr>
                <w:rFonts w:ascii="仿宋_GB2312" w:hAnsi="仿宋_GB2312" w:cs="仿宋_GB2312" w:eastAsia="仿宋_GB2312"/>
                <w:sz w:val="24"/>
                <w:color w:val="000000"/>
              </w:rPr>
              <w:t>（一）开幕式视频：制作一部融合历史与现代元素的开幕式视频，通过动画、实景拍摄与特效处理，激发观众的情感共鸣。</w:t>
            </w:r>
          </w:p>
          <w:p>
            <w:pPr>
              <w:pStyle w:val="null3"/>
              <w:jc w:val="both"/>
            </w:pPr>
            <w:r>
              <w:rPr>
                <w:rFonts w:ascii="仿宋_GB2312" w:hAnsi="仿宋_GB2312" w:cs="仿宋_GB2312" w:eastAsia="仿宋_GB2312"/>
                <w:sz w:val="24"/>
                <w:color w:val="000000"/>
              </w:rPr>
              <w:t>（二）现场直播与录播：利用多机位高清直播技术，实现线上线下同步观看，扩大活动影响力，同时录制高清版本，留存资料。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自合同之日起至2025年8月12日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三原县体育活动中心。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经演出成功后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重大违法记录声明</w:t>
            </w:r>
          </w:p>
        </w:tc>
        <w:tc>
          <w:tcPr>
            <w:tcW w:type="dxa" w:w="3322"/>
          </w:tcPr>
          <w:p>
            <w:pPr>
              <w:pStyle w:val="null3"/>
            </w:pPr>
            <w:r>
              <w:rPr>
                <w:rFonts w:ascii="仿宋_GB2312" w:hAnsi="仿宋_GB2312" w:cs="仿宋_GB2312" w:eastAsia="仿宋_GB2312"/>
              </w:rPr>
              <w:t>供应商参加采购活动近3年内经营活动中没有重大违法记录声明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供应商具有演出经营许可证且在有效期内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不专门面向中小企业</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特点及服务内容制定具体详细的实施方案，设计方案，方案总体思路清晰，实施方法及工作安排合理。根据本项目的时限要求，制定规范的、有针对性的服务进度计划，安排紧凑得当，能充分体现工作效率及工作效果，计划合理且科学，根据其响应程度进行综合评审。 满足磋商文件要求，无瑕疵：12分； 方案内容存在1处瑕疵：10分； 方案内容存在2处瑕疵：8分； 方案内容存在3处瑕疵：6分； 方案内容存在4处瑕疵：4分； 方案内容存在5处瑕疵：2分； 未提供或不满足磋商文件要求或内容存在6处及以上瑕疵：0分。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供应商理解本项目的需求、目标和原则，根据其响应程度进行综合评审。 满足磋商文件要求，无瑕疵：10分； 方案内容存在1处瑕疵：8分； 方案内容存在2处瑕疵：6分； 方案内容存在3处瑕疵：3分； 方案内容存在4处瑕疵：2分； 方案内容存在5处瑕疵：1分； 未提供或不满足磋商文件要求或内容存在6处及以上瑕疵：0分。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会场布置方案</w:t>
            </w:r>
          </w:p>
        </w:tc>
        <w:tc>
          <w:tcPr>
            <w:tcW w:type="dxa" w:w="2492"/>
          </w:tcPr>
          <w:p>
            <w:pPr>
              <w:pStyle w:val="null3"/>
            </w:pPr>
            <w:r>
              <w:rPr>
                <w:rFonts w:ascii="仿宋_GB2312" w:hAnsi="仿宋_GB2312" w:cs="仿宋_GB2312" w:eastAsia="仿宋_GB2312"/>
              </w:rPr>
              <w:t>供应商针对本项目提供会场布置方案，符合项目主题，合理利用场地，使用节能环保材料等内容进行综合评审。 满足磋商文件要求，无瑕疵：10分； 方案内容存在1处瑕疵：8分； 方案内容存在2处瑕疵：6分； 方案内容存在3处瑕疵：4分； 方案内容存在4处瑕疵：2分； 方案内容存在5处瑕疵：1分； 未提供或不满足磋商文件要求或内容存在6处及以上瑕疵：0分。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供应商针对本项目提供的安全保障措施，包括但不限于：消防、用电、设备安全及突发问题（迟到、车辆故障）等应急预案及应对措施。 满足磋商文件要求，无瑕疵：10分； 内容存在1处瑕疵：8分； 内容存在2处瑕疵：5分； 内容存在3处瑕疵：2分； 未提供或不满足磋商文件要求或内容存在4处及以上瑕疵：0分。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后勤接待方案</w:t>
            </w:r>
          </w:p>
        </w:tc>
        <w:tc>
          <w:tcPr>
            <w:tcW w:type="dxa" w:w="2492"/>
          </w:tcPr>
          <w:p>
            <w:pPr>
              <w:pStyle w:val="null3"/>
            </w:pPr>
            <w:r>
              <w:rPr>
                <w:rFonts w:ascii="仿宋_GB2312" w:hAnsi="仿宋_GB2312" w:cs="仿宋_GB2312" w:eastAsia="仿宋_GB2312"/>
              </w:rPr>
              <w:t>供应商针对本项目提供后勤接待方案，包括但不限于：评估嘉宾注册、住宿交通流程，茶歇安保资源配置，需提供流程图或服务手册。 满足磋商文件要求，无瑕疵：6分； 方案内容存在1处瑕疵：5分； 方案内容存在2处瑕疵：4分； 方案内容存在3处瑕疵：3分； 方案内容存在4处瑕疵：2分； 方案内容存在5处瑕疵：1分； 未提供或不满足磋商文件要求或内容存在6处及以上瑕疵：0分。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撤离方案</w:t>
            </w:r>
          </w:p>
        </w:tc>
        <w:tc>
          <w:tcPr>
            <w:tcW w:type="dxa" w:w="2492"/>
          </w:tcPr>
          <w:p>
            <w:pPr>
              <w:pStyle w:val="null3"/>
            </w:pPr>
            <w:r>
              <w:rPr>
                <w:rFonts w:ascii="仿宋_GB2312" w:hAnsi="仿宋_GB2312" w:cs="仿宋_GB2312" w:eastAsia="仿宋_GB2312"/>
              </w:rPr>
              <w:t>供应商针对本项目提供撤场与清理方案，包括但不限于：垃圾清运、材料回收、设施设备归位等。 满足磋商文件要求，无瑕疵：6分； 方案内容存在1处瑕疵：5分； 方案内容存在2处瑕疵：4分； 方案内容存在3处瑕疵：3分； 方案内容存在4处瑕疵：2分； 方案内容存在5处瑕疵：1分； 未提供或不满足磋商文件要求或内容存在6处及以上瑕疵：0分。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设施设备清单</w:t>
            </w:r>
          </w:p>
        </w:tc>
        <w:tc>
          <w:tcPr>
            <w:tcW w:type="dxa" w:w="2492"/>
          </w:tcPr>
          <w:p>
            <w:pPr>
              <w:pStyle w:val="null3"/>
            </w:pPr>
            <w:r>
              <w:rPr>
                <w:rFonts w:ascii="仿宋_GB2312" w:hAnsi="仿宋_GB2312" w:cs="仿宋_GB2312" w:eastAsia="仿宋_GB2312"/>
              </w:rPr>
              <w:t>供应商针对本项目拟投入的设备设施完全满足实际需要且满足磋商文件要求，设备先进，种类齐全得8 分； 设备设施的配备方案基本满足实际需求，基本完善、可行得 6 分； 设备设施的配备方案不能满足实际需求，不完善得 3 分； 未提供的得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供应商针对本项目拟投入实施团队人员，有项目负责人、专业的策划、宣传服务、执行团队和驻场服务；拟派项目团队人员数量及专业安排合理、经验丰富、专业素质高、岗位职责明确清晰。 满足磋商文件要求，无瑕疵：12分； 方案内容存在1处瑕疵：10分； 方案内容存在2处瑕疵：8分； 方案内容存在3处瑕疵：6分； 方案内容存在4处瑕疵：4分； 方案内容存在5处瑕疵：2分； 未提供或不满足磋商文件要求或内容存在6处及以上瑕疵：0分。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供应商针对本项目为采购人提供有利于项目实施的合理化建议，按其内容综合评审。 满足磋商文件要求，无瑕疵：6分； 方案内容存在1处瑕疵：4分； 方案内容存在2处瑕疵：1分； 未提供或不满足磋商文件要求或内容存在3处及以上瑕疵：0分。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供应商提供自2022年7月至今（以合同签订日期或中标通知书日期为准）类似项目业绩，每提供1份得1分，最高得5分。 备注：以合同复印件或中标通知书复印件加盖供应商公章为准。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