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版本号：SDZC2025-14420250806003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渠岸镇农村生态环境治理项目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SDZC2025-144</w:t>
      </w:r>
      <w:r>
        <w:br/>
      </w:r>
      <w:r>
        <w:br/>
      </w:r>
      <w:r>
        <w:br/>
      </w:r>
    </w:p>
    <w:p>
      <w:pPr>
        <w:pStyle w:val="null3"/>
        <w:jc w:val="center"/>
        <w:outlineLvl w:val="2"/>
      </w:pPr>
      <w:r>
        <w:rPr>
          <w:rFonts w:ascii="仿宋_GB2312" w:hAnsi="仿宋_GB2312" w:cs="仿宋_GB2312" w:eastAsia="仿宋_GB2312"/>
          <w:sz w:val="28"/>
          <w:b/>
        </w:rPr>
        <w:t>三原县渠岸镇人民政府</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三原县渠岸镇人民政府</w:t>
      </w:r>
      <w:r>
        <w:rPr>
          <w:rFonts w:ascii="仿宋_GB2312" w:hAnsi="仿宋_GB2312" w:cs="仿宋_GB2312" w:eastAsia="仿宋_GB2312"/>
        </w:rPr>
        <w:t>委托，拟对</w:t>
      </w:r>
      <w:r>
        <w:rPr>
          <w:rFonts w:ascii="仿宋_GB2312" w:hAnsi="仿宋_GB2312" w:cs="仿宋_GB2312" w:eastAsia="仿宋_GB2312"/>
        </w:rPr>
        <w:t>渠岸镇农村生态环境治理项目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渠岸镇农村生态环境治理项目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渠岸镇农村生态环境治理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p>
      <w:pPr>
        <w:pStyle w:val="null3"/>
      </w:pPr>
      <w:r>
        <w:rPr>
          <w:rFonts w:ascii="仿宋_GB2312" w:hAnsi="仿宋_GB2312" w:cs="仿宋_GB2312" w:eastAsia="仿宋_GB2312"/>
        </w:rPr>
        <w:t>4、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5、社会保障资金缴纳证明：提供截止至开标时间前六个月内任意一个月的社保缴纳凭据或社保机构开具的社会保险参保缴纳情况证明；（依法不需要缴纳社会保障资金的供应商应提供相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6、税收缴纳证明：提供截止至开标时间前六个月内任意一个月的缴纳凭据；（增值税、企业所得税至少提供一种，依法免税的供应商应提供相关文件证明）：税收缴纳证明：提供截止至开标时间前六个月内任意一个月的缴纳凭据；（增值税、企业所得税至少提供一种，依法免税的供应商应提供相关文件证明）</w:t>
      </w:r>
    </w:p>
    <w:p>
      <w:pPr>
        <w:pStyle w:val="null3"/>
      </w:pPr>
      <w:r>
        <w:rPr>
          <w:rFonts w:ascii="仿宋_GB2312" w:hAnsi="仿宋_GB2312" w:cs="仿宋_GB2312" w:eastAsia="仿宋_GB2312"/>
        </w:rPr>
        <w:t>7、提供具有履行本合同所必需的设备和专业技术能力的说明及承诺；（提供书面说明及承诺，加盖供应商公章）：提供具有履行本合同所必需的设备和专业技术能力的说明及承诺；（提供书面说明及承诺，加盖供应商公章）</w:t>
      </w:r>
    </w:p>
    <w:p>
      <w:pPr>
        <w:pStyle w:val="null3"/>
      </w:pPr>
      <w:r>
        <w:rPr>
          <w:rFonts w:ascii="仿宋_GB2312" w:hAnsi="仿宋_GB2312" w:cs="仿宋_GB2312" w:eastAsia="仿宋_GB2312"/>
        </w:rPr>
        <w:t>8、提供参加政府采购活动前三年内在经营活动中没有重大违法记录的书面声明。（提供书面声明，加盖供应商公章）：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10、单位负责人为同一人或者存在直接控股、管理关系的不同供应商，不得参加 同一合同项下的政府采购活动；：单位负责人为同一人或者存在直接控股、管理关系的不同供应商，不得参加 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三原县渠岸镇人民政府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咸阳市三原县渠岸镇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渠岸镇经办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029-32314999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葛晓辉（11号工位）、姚文霄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采购包1：1,801,971.88元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三原县渠岸镇人民政府</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三原县渠岸镇人民政府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三原县渠岸镇人民政府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符合磋商响应文件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联系人：葛晓辉（11号工位）</w:t>
      </w:r>
    </w:p>
    <w:p>
      <w:pPr>
        <w:pStyle w:val="null3"/>
      </w:pPr>
      <w:r>
        <w:rPr>
          <w:rFonts w:ascii="仿宋_GB2312" w:hAnsi="仿宋_GB2312" w:cs="仿宋_GB2312" w:eastAsia="仿宋_GB2312"/>
        </w:rPr>
        <w:t>联系电话：029-86673953、029-86518381、029-89299829、029-89293231转811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1,801,971.88</w:t>
      </w:r>
    </w:p>
    <w:p>
      <w:pPr>
        <w:pStyle w:val="null3"/>
      </w:pPr>
      <w:r>
        <w:rPr>
          <w:rFonts w:ascii="仿宋_GB2312" w:hAnsi="仿宋_GB2312" w:cs="仿宋_GB2312" w:eastAsia="仿宋_GB2312"/>
        </w:rPr>
        <w:t>采购包最高限价（元）: 1,801,971.88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渠岸镇农村生态环境治理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1,801,971.88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标的名称：渠岸镇农村生态环境治理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70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3.3采购人只提供电源、水源。成交人在施工期间不得破坏原有建筑。4、质量保证：4.1工程质保期符合文件要求及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编制书脊（注明项目名称、项目编号）。2、工程竣工验收结算审计后 ，达到付款条件起 30 日内，支付合同总金额的 97.00%。 剩余尾款，自终验合格之日起一年后 ，达到付款条件起 30 日内，支付合同总金额的 3.00%。3、本项目采购标的对应的中小企业划分标准所属行业为（建筑业）。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供应商需在项目电子化交易系统中按要求上传相应证明文件并进行电子签章。本项目审查内容与特殊资格要求的“财务状况报告”审查为同一项。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tc>
        <w:tc>
          <w:tcPr>
            <w:tcW w:type="dxa" w:w="3322"/>
          </w:tcPr>
          <w:p>
            <w:pPr>
              <w:pStyle w:val="null3"/>
            </w:pPr>
            <w:r>
              <w:rPr>
                <w:rFonts w:ascii="仿宋_GB2312" w:hAnsi="仿宋_GB2312" w:cs="仿宋_GB2312" w:eastAsia="仿宋_GB2312"/>
              </w:rPr>
              <w:t>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税收缴纳证明：提供截止至开标时间前六个月内任意一个月的缴纳凭据；（增值税、企业所得税至少提供一种，依法免税的供应商应提供相关文件证明）</w:t>
            </w:r>
          </w:p>
        </w:tc>
        <w:tc>
          <w:tcPr>
            <w:tcW w:type="dxa" w:w="3322"/>
          </w:tcPr>
          <w:p>
            <w:pPr>
              <w:pStyle w:val="null3"/>
            </w:pPr>
            <w:r>
              <w:rPr>
                <w:rFonts w:ascii="仿宋_GB2312" w:hAnsi="仿宋_GB2312" w:cs="仿宋_GB2312" w:eastAsia="仿宋_GB2312"/>
              </w:rPr>
              <w:t>税收缴纳证明：提供截止至开标时间前六个月内任意一个月的缴纳凭据；（增值税、企业所得税至少提供一种，依法免税的供应商应提供相关文件证明）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 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 同一合同项下的政府采购活动；</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标的清单 工程量清单计价表.docx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对竞争性磋商文件及合同条款的承诺.docx 中小企业声明函 服务承诺.docx 法定代表人资格证明书.docx 承诺书.docx 工程量清单计价表.docx 响应文件封面 施工技术响应.docx 项目管理机构组成表 残疾人福利性单位声明函 报价函 供应商参与政府采购活动的承诺函.docx 标的清单 业绩情况表.docx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报价函 标的清单 工程量清单计价表.docx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法定代表人资格证明书.docx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对竞争性磋商文件及合同条款的承诺.docx 承诺书.docx 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承诺书.docx 工程量清单计价表.docx 响应文件封面 残疾人福利性单位声明函 报价函 供应商参与政府采购活动的承诺函.docx 标的清单 响应函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对竞争性磋商文件及合同条款的承诺.docx 中小企业声明函 服务承诺.docx 法定代表人资格证明书.docx 承诺书.docx 工程量清单计价表.docx 响应文件封面 施工技术响应.docx 项目管理机构组成表 残疾人福利性单位声明函 报价函 供应商参与政府采购活动的承诺函.docx 标的清单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承诺书.docx 工程量清单计价表.docx 响应文件封面 施工技术响应.docx 残疾人福利性单位声明函 报价函 供应商参与政府采购活动的承诺函.docx 标的清单 响应函 资质证明文件.docx 监狱企业的证明文件 技术、服务、商务及其他要求响应偏离表.docx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磋商响应文件对质保期、付款方式、验收等商务要求进行详细说明，完全响应磋商文件的计1分，工期优于磋商文件的，每优于一个日历日的加0.1分，最多加1分。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 评审标准： ①内容完整全面详细，且各项制度、措施等合理具体，内容能够紧扣项目实际情况，条理清晰的计6分；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①内容科学全面，详细、具体的计10分； ②内容完整，但仅对部分内容进行详细描述的计7分； ③仅有框架或内容条理不清晰、混乱的计5分； ④内容缺一项或内容与项目无关的计3分； ⑤内容简单或内容欠缺2项及以上的计1分； ⑥未提供本项不计分。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供应商针对本项目编制完善的劳动力安排计划及劳务分包情况，内容包含但不限于：劳动力投入计划，劳动力保障措施。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以合同形式提供供应商2022年01月至今类似项目业绩，每份计1分，计满4分为止。（以合同签订时间为准，附合同复印件）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工程量清单计价表.docx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详见附件：对竞争性磋商文件及合同条款的承诺.docx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详见附件：施工技术响应.docx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详见附件：工程量清单计价表.docx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