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版本号：SXLZ-2025-15120250731001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三原县西阳镇武官坊村人居环境改造提升项目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SXLZ-2025-151</w:t>
      </w:r>
      <w:r>
        <w:br/>
      </w:r>
      <w:r>
        <w:br/>
      </w:r>
      <w:r>
        <w:br/>
      </w:r>
    </w:p>
    <w:p>
      <w:pPr>
        <w:pStyle w:val="null3"/>
        <w:jc w:val="center"/>
        <w:outlineLvl w:val="2"/>
      </w:pPr>
      <w:r>
        <w:rPr>
          <w:rFonts w:ascii="仿宋_GB2312" w:hAnsi="仿宋_GB2312" w:cs="仿宋_GB2312" w:eastAsia="仿宋_GB2312"/>
          <w:sz w:val="28"/>
          <w:b/>
        </w:rPr>
        <w:t>三原县西阳镇人民政府</w:t>
      </w:r>
    </w:p>
    <w:p>
      <w:pPr>
        <w:pStyle w:val="null3"/>
        <w:jc w:val="center"/>
        <w:outlineLvl w:val="2"/>
      </w:pPr>
      <w:r>
        <w:rPr>
          <w:rFonts w:ascii="仿宋_GB2312" w:hAnsi="仿宋_GB2312" w:cs="仿宋_GB2312" w:eastAsia="仿宋_GB2312"/>
          <w:sz w:val="28"/>
          <w:b/>
        </w:rPr>
        <w:t>陕西龙泽项目咨询管理有限公司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陕西龙泽项目咨询管理有限公司</w:t>
      </w:r>
      <w:r>
        <w:rPr>
          <w:rFonts w:ascii="仿宋_GB2312" w:hAnsi="仿宋_GB2312" w:cs="仿宋_GB2312" w:eastAsia="仿宋_GB2312"/>
        </w:rPr>
        <w:t>（以下简称“代理机构”）受</w:t>
      </w:r>
      <w:r>
        <w:rPr>
          <w:rFonts w:ascii="仿宋_GB2312" w:hAnsi="仿宋_GB2312" w:cs="仿宋_GB2312" w:eastAsia="仿宋_GB2312"/>
        </w:rPr>
        <w:t>三原县西阳镇人民政府</w:t>
      </w:r>
      <w:r>
        <w:rPr>
          <w:rFonts w:ascii="仿宋_GB2312" w:hAnsi="仿宋_GB2312" w:cs="仿宋_GB2312" w:eastAsia="仿宋_GB2312"/>
        </w:rPr>
        <w:t>委托，拟对</w:t>
      </w:r>
      <w:r>
        <w:rPr>
          <w:rFonts w:ascii="仿宋_GB2312" w:hAnsi="仿宋_GB2312" w:cs="仿宋_GB2312" w:eastAsia="仿宋_GB2312"/>
        </w:rPr>
        <w:t>三原县西阳镇武官坊村人居环境改造提升项目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SXLZ-2025-151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三原县西阳镇武官坊村人居环境改造提升项目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包含中心路沥青混凝土地面、村内住户墙面真石漆、围墙涂料、墙面美化、树池砌筑、修剪树木、路灯安装、党群服务中心及休闲广场改造等工程内容（具体详见竞争性磋商文件）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采购包1（三原县西阳镇武官坊村人居环境改造提升项目）：属于专门面向中小企业采购。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提供2023或2024年度经审计完整的财务审计报告（成立时间至提交投标文件截止时间不足一年的可提供成立后任意时段的资产负债表），或其开标前六个月内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5、设备和专业技术能力：具有履行合同所必需的设备和专业技术能力的书面声明；</w:t>
      </w:r>
    </w:p>
    <w:p>
      <w:pPr>
        <w:pStyle w:val="null3"/>
      </w:pPr>
      <w:r>
        <w:rPr>
          <w:rFonts w:ascii="仿宋_GB2312" w:hAnsi="仿宋_GB2312" w:cs="仿宋_GB2312" w:eastAsia="仿宋_GB2312"/>
        </w:rPr>
        <w:t>6、没有重大违法记录的书面声明：参加政府采购活动前3年内在经营活动中没有重大违法记录的书面声明；</w:t>
      </w:r>
    </w:p>
    <w:p>
      <w:pPr>
        <w:pStyle w:val="null3"/>
      </w:pPr>
      <w:r>
        <w:rPr>
          <w:rFonts w:ascii="仿宋_GB2312" w:hAnsi="仿宋_GB2312" w:cs="仿宋_GB2312" w:eastAsia="仿宋_GB2312"/>
        </w:rPr>
        <w:t>7、信用查询截图：供应商不得为“信用中国”网站（www.creditchina.gov.cn）中列入失信被执行人、重大税收违法失信主体名单，不得为“中国政府采购网”（www.ccgp.gov.cn）政府采购严重违法失信行为记录名单中被财政部门禁止参加政府采购活动的单位；</w:t>
      </w:r>
    </w:p>
    <w:p>
      <w:pPr>
        <w:pStyle w:val="null3"/>
      </w:pPr>
      <w:r>
        <w:rPr>
          <w:rFonts w:ascii="仿宋_GB2312" w:hAnsi="仿宋_GB2312" w:cs="仿宋_GB2312" w:eastAsia="仿宋_GB2312"/>
        </w:rPr>
        <w:t>8、法定代表人证明或授权委托书：法定代表人直接参加投标的，须出具法定代表人身份证明书；法定代表人授权代表参加投标的，须出具法定代表人授权委托书；</w:t>
      </w:r>
    </w:p>
    <w:p>
      <w:pPr>
        <w:pStyle w:val="null3"/>
      </w:pPr>
      <w:r>
        <w:rPr>
          <w:rFonts w:ascii="仿宋_GB2312" w:hAnsi="仿宋_GB2312" w:cs="仿宋_GB2312" w:eastAsia="仿宋_GB2312"/>
        </w:rPr>
        <w:t>9、企业资质：供应商具备市政公用工程施工总承包三级及以上资质和有效的安全生产许可证；</w:t>
      </w:r>
    </w:p>
    <w:p>
      <w:pPr>
        <w:pStyle w:val="null3"/>
      </w:pPr>
      <w:r>
        <w:rPr>
          <w:rFonts w:ascii="仿宋_GB2312" w:hAnsi="仿宋_GB2312" w:cs="仿宋_GB2312" w:eastAsia="仿宋_GB2312"/>
        </w:rPr>
        <w:t>10、拟派项目负责人资质和专业要求：证书等级：注册建造师二级及以上执业资格 专业：市政公用工程 补充说明：具备项目经理安全生产考核合格证B证，在本单位注册且未担任其他在建工程项目的项目经理；</w:t>
      </w:r>
    </w:p>
    <w:p>
      <w:pPr>
        <w:pStyle w:val="null3"/>
      </w:pPr>
      <w:r>
        <w:rPr>
          <w:rFonts w:ascii="仿宋_GB2312" w:hAnsi="仿宋_GB2312" w:cs="仿宋_GB2312" w:eastAsia="仿宋_GB2312"/>
        </w:rPr>
        <w:t>11、企业关联关系：单位负责人为同一人或者存在直接控股、管理关系的不同供应商，不得参加同一合同项下的政府采购活动；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12、非联合体投标：本项目不接受联合体投标，提供非联合体投标声明。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三原县西阳镇人民政府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三原县西阳镇镇政府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15129955149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陕西龙泽项目咨询管理有限公司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陕西省西安市国家民用航天产业基地神舟五路与东长安街交汇处东南角航天城中心广场1号楼708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15309270789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采购包1：3,417,619.77元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成交金额，参照国家计委2002年颁发的《招标代理服务收费管理暂行办法》(计价格〔2002〕1980号)及《国家发展改革委关于进一步放开建设项目专业服务价格的通知》(发改价格〔2015〕299号)的规定计取。由成交供应商一次性向采购代理机构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三原县西阳镇人民政府</w:t>
      </w:r>
      <w:r>
        <w:rPr>
          <w:rFonts w:ascii="仿宋_GB2312" w:hAnsi="仿宋_GB2312" w:cs="仿宋_GB2312" w:eastAsia="仿宋_GB2312"/>
        </w:rPr>
        <w:t>和</w:t>
      </w:r>
      <w:r>
        <w:rPr>
          <w:rFonts w:ascii="仿宋_GB2312" w:hAnsi="仿宋_GB2312" w:cs="仿宋_GB2312" w:eastAsia="仿宋_GB2312"/>
        </w:rPr>
        <w:t>陕西龙泽项目咨询管理有限公司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三原县西阳镇人民政府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陕西龙泽项目咨询管理有限公司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三原县西阳镇人民政府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陕西龙泽项目咨询管理有限公司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1、符合国家现行行业标准。2、交付竣工验收的工程，必须符合规定的工程质量标准，有完整的工程技术经济资料和经签署的工程保修书，并具备国家规定的其他竣工条件。 工程竣工经验收合格后，方可交付使用；未经验收或者验收不合格的，不得交付使用。3、验收结果合格的，采购人应向成交供应商出具履约验收报告，成交供应商凭验收报告办理相关手续。4、验收结果不合格的，应当对采购人的损失承担赔偿责任。</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联系人：胡荣</w:t>
      </w:r>
    </w:p>
    <w:p>
      <w:pPr>
        <w:pStyle w:val="null3"/>
      </w:pPr>
      <w:r>
        <w:rPr>
          <w:rFonts w:ascii="仿宋_GB2312" w:hAnsi="仿宋_GB2312" w:cs="仿宋_GB2312" w:eastAsia="仿宋_GB2312"/>
        </w:rPr>
        <w:t>联系电话：15309270789</w:t>
      </w:r>
    </w:p>
    <w:p>
      <w:pPr>
        <w:pStyle w:val="null3"/>
      </w:pPr>
      <w:r>
        <w:rPr>
          <w:rFonts w:ascii="仿宋_GB2312" w:hAnsi="仿宋_GB2312" w:cs="仿宋_GB2312" w:eastAsia="仿宋_GB2312"/>
        </w:rPr>
        <w:t>地址：陕西省西安市国家民用航天产业基地神舟五路与东长安街交汇处东南角航天城中心广场1号楼708室</w:t>
      </w:r>
    </w:p>
    <w:p>
      <w:pPr>
        <w:pStyle w:val="null3"/>
      </w:pPr>
      <w:r>
        <w:rPr>
          <w:rFonts w:ascii="仿宋_GB2312" w:hAnsi="仿宋_GB2312" w:cs="仿宋_GB2312" w:eastAsia="仿宋_GB2312"/>
        </w:rPr>
        <w:t>邮编：710100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3,417,619.77</w:t>
      </w:r>
    </w:p>
    <w:p>
      <w:pPr>
        <w:pStyle w:val="null3"/>
      </w:pPr>
      <w:r>
        <w:rPr>
          <w:rFonts w:ascii="仿宋_GB2312" w:hAnsi="仿宋_GB2312" w:cs="仿宋_GB2312" w:eastAsia="仿宋_GB2312"/>
        </w:rPr>
        <w:t>采购包最高限价（元）: 3,417,619.77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三原县西阳镇武官坊村人居环境改造提升项目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3,417,619.77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标的名称：三原县西阳镇武官坊村人居环境改造提升项目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b/>
                <w:color w:val="000000"/>
              </w:rPr>
              <w:t>一、项目概况</w:t>
            </w:r>
          </w:p>
          <w:p>
            <w:pPr>
              <w:pStyle w:val="null3"/>
              <w:ind w:firstLine="420"/>
              <w:jc w:val="left"/>
            </w:pPr>
            <w:r>
              <w:rPr>
                <w:rFonts w:ascii="仿宋_GB2312" w:hAnsi="仿宋_GB2312" w:cs="仿宋_GB2312" w:eastAsia="仿宋_GB2312"/>
                <w:color w:val="000000"/>
              </w:rPr>
              <w:t>1、项目名称：</w:t>
            </w:r>
            <w:r>
              <w:rPr>
                <w:rFonts w:ascii="仿宋_GB2312" w:hAnsi="仿宋_GB2312" w:cs="仿宋_GB2312" w:eastAsia="仿宋_GB2312"/>
                <w:color w:val="000000"/>
              </w:rPr>
              <w:t>三原县西阳镇武官坊村人居环境改造提升项目</w:t>
            </w:r>
            <w:r>
              <w:rPr>
                <w:rFonts w:ascii="仿宋_GB2312" w:hAnsi="仿宋_GB2312" w:cs="仿宋_GB2312" w:eastAsia="仿宋_GB2312"/>
                <w:color w:val="000000"/>
              </w:rPr>
              <w:t>。</w:t>
            </w:r>
          </w:p>
          <w:p>
            <w:pPr>
              <w:pStyle w:val="null3"/>
              <w:ind w:firstLine="420"/>
              <w:jc w:val="left"/>
            </w:pPr>
            <w:r>
              <w:rPr>
                <w:rFonts w:ascii="仿宋_GB2312" w:hAnsi="仿宋_GB2312" w:cs="仿宋_GB2312" w:eastAsia="仿宋_GB2312"/>
                <w:color w:val="000000"/>
              </w:rPr>
              <w:t>2、项目范围：包含中心路沥青混凝土地面、村内住户墙面真石漆、围墙涂料、墙面美化、树池砌筑、修剪树木、路灯安装、党群服务中心及休闲广场改造等工程内容（具体详见附件工程量清单）。</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b/>
                <w:color w:val="000000"/>
              </w:rPr>
              <w:t>二、建设地点、计划工期、工程质量、质量保修期</w:t>
            </w:r>
          </w:p>
          <w:p>
            <w:pPr>
              <w:pStyle w:val="null3"/>
              <w:ind w:firstLine="420"/>
              <w:jc w:val="left"/>
            </w:pPr>
            <w:r>
              <w:rPr>
                <w:rFonts w:ascii="仿宋_GB2312" w:hAnsi="仿宋_GB2312" w:cs="仿宋_GB2312" w:eastAsia="仿宋_GB2312"/>
                <w:color w:val="000000"/>
              </w:rPr>
              <w:t>1、建设地点：三原县西阳镇武官坊村。</w:t>
            </w:r>
          </w:p>
          <w:p>
            <w:pPr>
              <w:pStyle w:val="null3"/>
              <w:ind w:firstLine="420"/>
              <w:jc w:val="left"/>
            </w:pPr>
            <w:r>
              <w:rPr>
                <w:rFonts w:ascii="仿宋_GB2312" w:hAnsi="仿宋_GB2312" w:cs="仿宋_GB2312" w:eastAsia="仿宋_GB2312"/>
                <w:color w:val="000000"/>
              </w:rPr>
              <w:t>2、计划工期：60日历天。</w:t>
            </w:r>
          </w:p>
          <w:p>
            <w:pPr>
              <w:pStyle w:val="null3"/>
              <w:ind w:firstLine="420"/>
              <w:jc w:val="left"/>
            </w:pPr>
            <w:r>
              <w:rPr>
                <w:rFonts w:ascii="仿宋_GB2312" w:hAnsi="仿宋_GB2312" w:cs="仿宋_GB2312" w:eastAsia="仿宋_GB2312"/>
                <w:color w:val="000000"/>
              </w:rPr>
              <w:t>3、工程质量：合格。</w:t>
            </w:r>
          </w:p>
          <w:p>
            <w:pPr>
              <w:pStyle w:val="null3"/>
              <w:ind w:firstLine="420"/>
              <w:jc w:val="left"/>
            </w:pPr>
            <w:r>
              <w:rPr>
                <w:rFonts w:ascii="仿宋_GB2312" w:hAnsi="仿宋_GB2312" w:cs="仿宋_GB2312" w:eastAsia="仿宋_GB2312"/>
                <w:color w:val="000000"/>
              </w:rPr>
              <w:t>4、质量保修期：一年。</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b/>
                <w:color w:val="000000"/>
              </w:rPr>
              <w:t>三、付款方式</w:t>
            </w:r>
          </w:p>
          <w:p>
            <w:pPr>
              <w:pStyle w:val="null3"/>
              <w:ind w:firstLine="420"/>
              <w:jc w:val="left"/>
            </w:pPr>
            <w:r>
              <w:rPr>
                <w:rFonts w:ascii="仿宋_GB2312" w:hAnsi="仿宋_GB2312" w:cs="仿宋_GB2312" w:eastAsia="仿宋_GB2312"/>
                <w:color w:val="000000"/>
              </w:rPr>
              <w:t>1、合同价款采用固定综合单价方式确定。 注：数量以实际为主。单价为完全综合单价。</w:t>
            </w:r>
          </w:p>
          <w:p>
            <w:pPr>
              <w:pStyle w:val="null3"/>
              <w:ind w:firstLine="420"/>
              <w:jc w:val="left"/>
            </w:pPr>
            <w:r>
              <w:rPr>
                <w:rFonts w:ascii="仿宋_GB2312" w:hAnsi="仿宋_GB2312" w:cs="仿宋_GB2312" w:eastAsia="仿宋_GB2312"/>
                <w:color w:val="000000"/>
              </w:rPr>
              <w:t>2、付款方式：合同签订后预付40%，工程验收合格且出具正式项目竣工结算审计报告后，支付60%。</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b/>
                <w:color w:val="000000"/>
              </w:rPr>
              <w:t>四、施工要求</w:t>
            </w:r>
          </w:p>
          <w:p>
            <w:pPr>
              <w:pStyle w:val="null3"/>
              <w:ind w:firstLine="420"/>
              <w:jc w:val="left"/>
            </w:pPr>
            <w:r>
              <w:rPr>
                <w:rFonts w:ascii="仿宋_GB2312" w:hAnsi="仿宋_GB2312" w:cs="仿宋_GB2312" w:eastAsia="仿宋_GB2312"/>
                <w:color w:val="000000"/>
              </w:rPr>
              <w:t>1、严格执行国家现行规范、标准。</w:t>
            </w:r>
          </w:p>
          <w:p>
            <w:pPr>
              <w:pStyle w:val="null3"/>
              <w:ind w:firstLine="420"/>
              <w:jc w:val="left"/>
            </w:pPr>
            <w:r>
              <w:rPr>
                <w:rFonts w:ascii="仿宋_GB2312" w:hAnsi="仿宋_GB2312" w:cs="仿宋_GB2312" w:eastAsia="仿宋_GB2312"/>
                <w:color w:val="000000"/>
              </w:rPr>
              <w:t>2、明确职责，严格岗位责任，齐心协力做好工作，确保工程按计划进行。</w:t>
            </w:r>
          </w:p>
          <w:p>
            <w:pPr>
              <w:pStyle w:val="null3"/>
              <w:ind w:firstLine="420"/>
              <w:jc w:val="left"/>
            </w:pPr>
            <w:r>
              <w:rPr>
                <w:rFonts w:ascii="仿宋_GB2312" w:hAnsi="仿宋_GB2312" w:cs="仿宋_GB2312" w:eastAsia="仿宋_GB2312"/>
                <w:color w:val="000000"/>
              </w:rPr>
              <w:t>3、加强管理，确保施工中的人员安全。</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符合国家及行业现行标准。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安全责任：乙方应对其工作人员在现场工作期间的一切行为负责，如安全事故责任及因此发生的人身损害赔偿和其它费用由乙方承担。2、保密条款：（1）成交供应商应严格遵守采购单位有关保密规定，不得泄漏一切机密；（2）在技术服务期间，成交供应商对接触到的有关采购单位商业活动、技术情报和技术资料等文件进行保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根据采购文件要求及合同约定执行；事业单位参与投标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2、为顺利推进政府采购电子化交易平台应用工作，供应商需要在线提交所有通过电子化交易平台实施的政府采购项目的响应文件，确定成交后，成交供应商须向代理机构提交纸质版磋商响应文件，正本壹份、副本贰份、电子版壹份（U盘）用于项目存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2023或2024年度经审计完整的财务审计报告（成立时间至提交投标文件截止时间不足一年的可提供成立后任意时段的资产负债表），或其开标前六个月内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设备和专业技术能力</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信用查询截图</w:t>
            </w:r>
          </w:p>
        </w:tc>
        <w:tc>
          <w:tcPr>
            <w:tcW w:type="dxa" w:w="3322"/>
          </w:tcPr>
          <w:p>
            <w:pPr>
              <w:pStyle w:val="null3"/>
            </w:pPr>
            <w:r>
              <w:rPr>
                <w:rFonts w:ascii="仿宋_GB2312" w:hAnsi="仿宋_GB2312" w:cs="仿宋_GB2312" w:eastAsia="仿宋_GB2312"/>
              </w:rPr>
              <w:t>供应商不得为“信用中国”网站（www.creditchina.gov.cn）中列入失信被执行人、重大税收违法失信主体名单，不得为“中国政府采购网”（www.ccgp.gov.cn）政府采购严重违法失信行为记录名单中被财政部门禁止参加政府采购活动的单位；</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法定代表人证明或授权委托书</w:t>
            </w:r>
          </w:p>
        </w:tc>
        <w:tc>
          <w:tcPr>
            <w:tcW w:type="dxa" w:w="3322"/>
          </w:tcPr>
          <w:p>
            <w:pPr>
              <w:pStyle w:val="null3"/>
            </w:pPr>
            <w:r>
              <w:rPr>
                <w:rFonts w:ascii="仿宋_GB2312" w:hAnsi="仿宋_GB2312" w:cs="仿宋_GB2312" w:eastAsia="仿宋_GB2312"/>
              </w:rPr>
              <w:t>法定代表人直接参加投标的，须出具法定代表人身份证明书；法定代表人授权代表参加投标的，须出具法定代表人授权委托书；</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供应商具备市政公用工程施工总承包三级及以上资质和有效的安全生产许可证；</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证书等级：注册建造师二级及以上执业资格 专业：市政公用工程 补充说明：具备项目经理安全生产考核合格证B证，在本单位注册且未担任其他在建工程项目的项目经理；</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本项目不接受联合体投标，提供非联合体投标声明。</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应符合“竞争性磋商响应文件格式”要求。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应符合竞争性磋商响应文件要求。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报价唯一，磋商报价符合唯一性要求、响应报价表填写符合要求、报价货币符合磋商文件要求、报价数量与要求符合并未出现漏项、未超出采购预算和磋商文件规定的各分项最高限价； 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 磋商响应文件中项目名称、项目编号与本项目一致； 磋商响应文件至少包括：（1）响应函、（2）响应报价表、（3）供应商资格证明、（4）采购需求偏离表、（5）供应商承诺书。</w:t>
            </w:r>
          </w:p>
        </w:tc>
        <w:tc>
          <w:tcPr>
            <w:tcW w:type="dxa" w:w="1661"/>
          </w:tcPr>
          <w:p>
            <w:pPr>
              <w:pStyle w:val="null3"/>
            </w:pPr>
            <w:r>
              <w:rPr>
                <w:rFonts w:ascii="仿宋_GB2312" w:hAnsi="仿宋_GB2312" w:cs="仿宋_GB2312" w:eastAsia="仿宋_GB2312"/>
              </w:rPr>
              <w:t>采购需求偏离表.pdf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计划工期</w:t>
            </w:r>
          </w:p>
        </w:tc>
        <w:tc>
          <w:tcPr>
            <w:tcW w:type="dxa" w:w="3322"/>
          </w:tcPr>
          <w:p>
            <w:pPr>
              <w:pStyle w:val="null3"/>
            </w:pPr>
            <w:r>
              <w:rPr>
                <w:rFonts w:ascii="仿宋_GB2312" w:hAnsi="仿宋_GB2312" w:cs="仿宋_GB2312" w:eastAsia="仿宋_GB2312"/>
              </w:rPr>
              <w:t>应满足磋商文件中要求的计划工期。</w:t>
            </w:r>
          </w:p>
        </w:tc>
        <w:tc>
          <w:tcPr>
            <w:tcW w:type="dxa" w:w="1661"/>
          </w:tcPr>
          <w:p>
            <w:pPr>
              <w:pStyle w:val="null3"/>
            </w:pPr>
            <w:r>
              <w:rPr>
                <w:rFonts w:ascii="仿宋_GB2312" w:hAnsi="仿宋_GB2312" w:cs="仿宋_GB2312" w:eastAsia="仿宋_GB2312"/>
              </w:rPr>
              <w:t>采购需求偏离表.pdf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对磋商文件条款响应</w:t>
            </w:r>
          </w:p>
        </w:tc>
        <w:tc>
          <w:tcPr>
            <w:tcW w:type="dxa" w:w="3322"/>
          </w:tcPr>
          <w:p>
            <w:pPr>
              <w:pStyle w:val="null3"/>
            </w:pPr>
            <w:r>
              <w:rPr>
                <w:rFonts w:ascii="仿宋_GB2312" w:hAnsi="仿宋_GB2312" w:cs="仿宋_GB2312" w:eastAsia="仿宋_GB2312"/>
              </w:rPr>
              <w:t>要求实质性条款全部响应，不能有采购人不能接受的附加条件，未有负偏离且响应的内容未含有采购人不能接受的附加条件。</w:t>
            </w:r>
          </w:p>
        </w:tc>
        <w:tc>
          <w:tcPr>
            <w:tcW w:type="dxa" w:w="1661"/>
          </w:tcPr>
          <w:p>
            <w:pPr>
              <w:pStyle w:val="null3"/>
            </w:pPr>
            <w:r>
              <w:rPr>
                <w:rFonts w:ascii="仿宋_GB2312" w:hAnsi="仿宋_GB2312" w:cs="仿宋_GB2312" w:eastAsia="仿宋_GB2312"/>
              </w:rPr>
              <w:t>采购需求偏离表.pdf</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1、实施方案非常详细并且完整可行、有针对性，完全满足项目实施的，得10分； 2、实施方案详细、完整，可行、有针对性，满足项目实施的，得8分； 3、实施方案比较详细完整、可行，较利于项目实施的，得5分； 4、实施方案基本可行，基本满足项目实施需要的，得2分;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工程质量的技术组织措施</w:t>
            </w:r>
          </w:p>
        </w:tc>
        <w:tc>
          <w:tcPr>
            <w:tcW w:type="dxa" w:w="2492"/>
          </w:tcPr>
          <w:p>
            <w:pPr>
              <w:pStyle w:val="null3"/>
            </w:pPr>
            <w:r>
              <w:rPr>
                <w:rFonts w:ascii="仿宋_GB2312" w:hAnsi="仿宋_GB2312" w:cs="仿宋_GB2312" w:eastAsia="仿宋_GB2312"/>
              </w:rPr>
              <w:t>工程质量的技术组织措施内容至少包括①质量管理工作流程；②工程质量保障方案；③工程质量控制体系；④材料和构配件的质量控制等；⑤施工检测及工序交验方案等。以上内容专门针对本项目且符合本项目实际需求的得10分，每缺一项内容扣 2 分，若上述内容存在瑕疵，每存在 1 处瑕疵扣1分，扣完为止。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针对本项目提供的安全作业方案及安全配套措施进行综合评审。 1、提供的安全作业方案及安全配套措施具体、详细，完全符合并优于采购人安全作业的要求，得8分； 2、提供安全作业方案及安全配套措施较详细、较完整，符合采购人安全作业的要求，得5分； 3、提供安全作业方案及安全配套措施基本合理可行，符合采购人安全作业的要求，得3分； 4、提供的安全作业方案及安全配套措施简单，基本符合采购人安全作业的要求，得1分；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配备分工及配合协调措施</w:t>
            </w:r>
          </w:p>
        </w:tc>
        <w:tc>
          <w:tcPr>
            <w:tcW w:type="dxa" w:w="2492"/>
          </w:tcPr>
          <w:p>
            <w:pPr>
              <w:pStyle w:val="null3"/>
            </w:pPr>
            <w:r>
              <w:rPr>
                <w:rFonts w:ascii="仿宋_GB2312" w:hAnsi="仿宋_GB2312" w:cs="仿宋_GB2312" w:eastAsia="仿宋_GB2312"/>
              </w:rPr>
              <w:t>1、配备分工合理，岗位间配合协调措施完善，得5分； 2、配备分工有一定合理性，岗位间配合协调措施较完善，得3分； 3、配备分工无针对性，岗位间协调配合措施简单笼统，得1分。未提供不得分。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专业技术能力及岗位职责</w:t>
            </w:r>
          </w:p>
        </w:tc>
        <w:tc>
          <w:tcPr>
            <w:tcW w:type="dxa" w:w="2492"/>
          </w:tcPr>
          <w:p>
            <w:pPr>
              <w:pStyle w:val="null3"/>
            </w:pPr>
            <w:r>
              <w:rPr>
                <w:rFonts w:ascii="仿宋_GB2312" w:hAnsi="仿宋_GB2312" w:cs="仿宋_GB2312" w:eastAsia="仿宋_GB2312"/>
              </w:rPr>
              <w:t>1、人员专业技术能力强，岗位职责清晰，得5分； 2、人员有一定的专业技术能力，岗位职责较清晰，得3分； 3、人员专业技术能力欠缺，得1分；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机械设备和劳动力配置情况</w:t>
            </w:r>
          </w:p>
        </w:tc>
        <w:tc>
          <w:tcPr>
            <w:tcW w:type="dxa" w:w="2492"/>
          </w:tcPr>
          <w:p>
            <w:pPr>
              <w:pStyle w:val="null3"/>
            </w:pPr>
            <w:r>
              <w:rPr>
                <w:rFonts w:ascii="仿宋_GB2312" w:hAnsi="仿宋_GB2312" w:cs="仿宋_GB2312" w:eastAsia="仿宋_GB2312"/>
              </w:rPr>
              <w:t>针对本项目提供拟投入本项目主要机械、设备和劳动力配置情况。 1、拟投入的机械设备数量充足，与项目匹配度高，劳动力配置合理，完全满足项目需要，得6分； 2、拟投入的机械设备数量、与项目基本匹配，劳动力配置较合理，基本满足项目需要，得3分； 3、拟投入的机械设备和劳动力配置简单，无针对性，得1分；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进度计划和工期目标</w:t>
            </w:r>
          </w:p>
        </w:tc>
        <w:tc>
          <w:tcPr>
            <w:tcW w:type="dxa" w:w="2492"/>
          </w:tcPr>
          <w:p>
            <w:pPr>
              <w:pStyle w:val="null3"/>
            </w:pPr>
            <w:r>
              <w:rPr>
                <w:rFonts w:ascii="仿宋_GB2312" w:hAnsi="仿宋_GB2312" w:cs="仿宋_GB2312" w:eastAsia="仿宋_GB2312"/>
              </w:rPr>
              <w:t>针对本项目提供的项目进度计划和工期目标，项目进度计划和工期目标科学、合理、可行，满足采购人需求。 1、进度计划安排合理、措施有效，工期目标明确，满足采购人要求，得5分； 2、进度计划安排较合理、措施较有效，工期目标基本清晰，基本满足采购人要求，得3分； 3、进度计划和工期目标内容简单笼统，无针对性，得1分；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针对本项目提供的文明施工措施计划进行综合评审。 1、措施计划齐全、合理且切实可行，完全满足采购人需求得5分； 2、措施计划较齐全、合理、切实可行，满足采购人需求得3分； 3、措施计划较齐全、合理、基本可行，基本满足采购人需求得2分； 4、措施计划基本完备齐全、合理性、可行性较差，得1分； 5、未提供得0分。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风险预防及应急预案</w:t>
            </w:r>
          </w:p>
        </w:tc>
        <w:tc>
          <w:tcPr>
            <w:tcW w:type="dxa" w:w="2492"/>
          </w:tcPr>
          <w:p>
            <w:pPr>
              <w:pStyle w:val="null3"/>
            </w:pPr>
            <w:r>
              <w:rPr>
                <w:rFonts w:ascii="仿宋_GB2312" w:hAnsi="仿宋_GB2312" w:cs="仿宋_GB2312" w:eastAsia="仿宋_GB2312"/>
              </w:rPr>
              <w:t>针对本项目提供项目风险预测与防范，事故应急预案。 1、风险预测与防范内容完善，针对性强，预案及措施科学合理可行性强，得5分； 2、风险预测与防范内容较完善，预案及措施有一定针对性和可行性强，得3分； 3、风险预测与防范内容、预案及措施内容简单笼统，无针对性，得1分；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降低工程适价、缩短施工周期的合理化建议</w:t>
            </w:r>
          </w:p>
        </w:tc>
        <w:tc>
          <w:tcPr>
            <w:tcW w:type="dxa" w:w="2492"/>
          </w:tcPr>
          <w:p>
            <w:pPr>
              <w:pStyle w:val="null3"/>
            </w:pPr>
            <w:r>
              <w:rPr>
                <w:rFonts w:ascii="仿宋_GB2312" w:hAnsi="仿宋_GB2312" w:cs="仿宋_GB2312" w:eastAsia="仿宋_GB2312"/>
              </w:rPr>
              <w:t>各项建议合理、可行，方法得当，得5分；合理化建议可行性一般、方法较少，得3分；合理化建议简单笼统，基本完备齐全，但合理性、可行性较差，得1分；未提供不得分。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供应商2022年1月1日至今（以合同的签订日期为准）承接过类似项目，提供类似业绩合同复印件，每提供一个得2分，满分6分。（合同内容须清晰可辨认，无涂改，否则视为无效合同）</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经初审合格的磋商响应文件，其磋商报价为有效磋商报价，并进行价格评审。满足磋商文件实质性要求且最终报价最低的供应商的价格为 磋商基准价，其价格分为满分30分。 磋商报价得分=（磋商基准价/最 终磋商报价）×30的公式计算得分。 磋商报价不完整的，不进入评标 标准价的计算，本项得0分。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详见附件：采购需求偏离表.pdf</w:t>
      </w:r>
    </w:p>
    <w:p>
      <w:pPr>
        <w:pStyle w:val="null3"/>
        <w:ind w:firstLine="960"/>
      </w:pPr>
      <w:r>
        <w:rPr>
          <w:rFonts w:ascii="仿宋_GB2312" w:hAnsi="仿宋_GB2312" w:cs="仿宋_GB2312" w:eastAsia="仿宋_GB2312"/>
        </w:rPr>
        <w:t>详见附件：磋商方案说明书.pdf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