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版本号：SXWZD-（CS）2025-070420250729001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三原县清河公园便民设施品质提升工程—设计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SXWZD-（CS）2025-0704</w:t>
      </w:r>
      <w:r>
        <w:br/>
      </w:r>
      <w:r>
        <w:br/>
      </w:r>
      <w:r>
        <w:br/>
      </w:r>
    </w:p>
    <w:p>
      <w:pPr>
        <w:pStyle w:val="null3"/>
        <w:jc w:val="center"/>
        <w:outlineLvl w:val="2"/>
      </w:pPr>
      <w:r>
        <w:rPr>
          <w:rFonts w:ascii="仿宋_GB2312" w:hAnsi="仿宋_GB2312" w:cs="仿宋_GB2312" w:eastAsia="仿宋_GB2312"/>
          <w:sz w:val="28"/>
          <w:b/>
        </w:rPr>
        <w:t>三原县城乡管理执法局</w:t>
      </w:r>
    </w:p>
    <w:p>
      <w:pPr>
        <w:pStyle w:val="null3"/>
        <w:jc w:val="center"/>
        <w:outlineLvl w:val="2"/>
      </w:pPr>
      <w:r>
        <w:rPr>
          <w:rFonts w:ascii="仿宋_GB2312" w:hAnsi="仿宋_GB2312" w:cs="仿宋_GB2312" w:eastAsia="仿宋_GB2312"/>
          <w:sz w:val="28"/>
          <w:b/>
        </w:rPr>
        <w:t>陕西文之鼎项目管理有限责任公司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陕西文之鼎项目管理有限责任公司</w:t>
      </w:r>
      <w:r>
        <w:rPr>
          <w:rFonts w:ascii="仿宋_GB2312" w:hAnsi="仿宋_GB2312" w:cs="仿宋_GB2312" w:eastAsia="仿宋_GB2312"/>
        </w:rPr>
        <w:t>（以下简称“代理机构”）受</w:t>
      </w:r>
      <w:r>
        <w:rPr>
          <w:rFonts w:ascii="仿宋_GB2312" w:hAnsi="仿宋_GB2312" w:cs="仿宋_GB2312" w:eastAsia="仿宋_GB2312"/>
        </w:rPr>
        <w:t>三原县城乡管理执法局</w:t>
      </w:r>
      <w:r>
        <w:rPr>
          <w:rFonts w:ascii="仿宋_GB2312" w:hAnsi="仿宋_GB2312" w:cs="仿宋_GB2312" w:eastAsia="仿宋_GB2312"/>
        </w:rPr>
        <w:t>委托，拟对</w:t>
      </w:r>
      <w:r>
        <w:rPr>
          <w:rFonts w:ascii="仿宋_GB2312" w:hAnsi="仿宋_GB2312" w:cs="仿宋_GB2312" w:eastAsia="仿宋_GB2312"/>
        </w:rPr>
        <w:t>三原县清河公园便民设施品质提升工程—设计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SXWZD-（CS）2025-0704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三原县清河公园便民设施品质提升工程—设计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三原县清河公园便民设施品质提升工程—设计，1项,具体内容详见磋商文件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pPr>
      <w:r>
        <w:rPr>
          <w:rFonts w:ascii="仿宋_GB2312" w:hAnsi="仿宋_GB2312" w:cs="仿宋_GB2312" w:eastAsia="仿宋_GB2312"/>
        </w:rPr>
        <w:t>8、资质：投标人须具备建设行政部门核发的工程设计综合甲级资质或市政行业工程设计（道路工程或风景园林工程设计）乙级及以上资质</w:t>
      </w:r>
    </w:p>
    <w:p>
      <w:pPr>
        <w:pStyle w:val="null3"/>
      </w:pPr>
      <w:r>
        <w:rPr>
          <w:rFonts w:ascii="仿宋_GB2312" w:hAnsi="仿宋_GB2312" w:cs="仿宋_GB2312" w:eastAsia="仿宋_GB2312"/>
        </w:rPr>
        <w:t>9、项目负责人：拟派该项目负责人需具备相关专业中级及以上职称。</w:t>
      </w:r>
    </w:p>
    <w:p>
      <w:pPr>
        <w:pStyle w:val="null3"/>
      </w:pPr>
      <w:r>
        <w:rPr>
          <w:rFonts w:ascii="仿宋_GB2312" w:hAnsi="仿宋_GB2312" w:cs="仿宋_GB2312" w:eastAsia="仿宋_GB2312"/>
        </w:rPr>
        <w:t>10、中小企业采购：本项目不专门面向中小企业采购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三原县城乡管理执法局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咸阳市三原县人行大街中段环卫队院内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黄继华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029-32280085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陕西文之鼎项目管理有限责任公司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陕西省西安市高新区锦业路锦业时代B2-506</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龚天艳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18629426765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2、成交供应商应依据成交金额向采购代理机构交纳成交服务费，交费金额参照《招标代理服务收费管理暂行办法》（计价格（2002）1980号）附件规定的收费标准收取，不足伍仟元按伍仟元收取。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三原县城乡管理执法局</w:t>
      </w:r>
      <w:r>
        <w:rPr>
          <w:rFonts w:ascii="仿宋_GB2312" w:hAnsi="仿宋_GB2312" w:cs="仿宋_GB2312" w:eastAsia="仿宋_GB2312"/>
        </w:rPr>
        <w:t>和</w:t>
      </w:r>
      <w:r>
        <w:rPr>
          <w:rFonts w:ascii="仿宋_GB2312" w:hAnsi="仿宋_GB2312" w:cs="仿宋_GB2312" w:eastAsia="仿宋_GB2312"/>
        </w:rPr>
        <w:t>陕西文之鼎项目管理有限责任公司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三原县城乡管理执法局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陕西文之鼎项目管理有限责任公司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三原县城乡管理执法局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陕西文之鼎项目管理有限责任公司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联系人：龚天艳</w:t>
      </w:r>
    </w:p>
    <w:p>
      <w:pPr>
        <w:pStyle w:val="null3"/>
      </w:pPr>
      <w:r>
        <w:rPr>
          <w:rFonts w:ascii="仿宋_GB2312" w:hAnsi="仿宋_GB2312" w:cs="仿宋_GB2312" w:eastAsia="仿宋_GB2312"/>
        </w:rPr>
        <w:t>联系电话：18629426765</w:t>
      </w:r>
    </w:p>
    <w:p>
      <w:pPr>
        <w:pStyle w:val="null3"/>
      </w:pPr>
      <w:r>
        <w:rPr>
          <w:rFonts w:ascii="仿宋_GB2312" w:hAnsi="仿宋_GB2312" w:cs="仿宋_GB2312" w:eastAsia="仿宋_GB2312"/>
        </w:rPr>
        <w:t>地址：陕西省西安市高新区锦业路锦业时代B2-506</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三原县清河公园便民设施品质提升工程—设计，1项,具体内容详见竞争性磋商文件。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清河公园便民设施品质提升工程—设计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标的名称：清河公园便民设施品质提升工程—设计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招标项目概况：</w:t>
            </w:r>
          </w:p>
          <w:p>
            <w:pPr>
              <w:pStyle w:val="null3"/>
            </w:pPr>
            <w:r>
              <w:rPr>
                <w:rFonts w:ascii="仿宋_GB2312" w:hAnsi="仿宋_GB2312" w:cs="仿宋_GB2312" w:eastAsia="仿宋_GB2312"/>
                <w:sz w:val="21"/>
              </w:rPr>
              <w:t>1、招标范围</w:t>
            </w:r>
          </w:p>
          <w:p>
            <w:pPr>
              <w:pStyle w:val="null3"/>
            </w:pPr>
            <w:r>
              <w:rPr>
                <w:rFonts w:ascii="仿宋_GB2312" w:hAnsi="仿宋_GB2312" w:cs="仿宋_GB2312" w:eastAsia="仿宋_GB2312"/>
                <w:sz w:val="21"/>
              </w:rPr>
              <w:t>三原县清河公园便民设施品质提升工程—设计服务。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、主要设计内容：对三原县清峪河国家湿地公园清便民设施进行品质化提升改造，全长</w:t>
            </w:r>
            <w:r>
              <w:rPr>
                <w:rFonts w:ascii="仿宋_GB2312" w:hAnsi="仿宋_GB2312" w:cs="仿宋_GB2312" w:eastAsia="仿宋_GB2312"/>
                <w:sz w:val="21"/>
              </w:rPr>
              <w:t>2.1</w:t>
            </w:r>
            <w:r>
              <w:rPr>
                <w:rFonts w:ascii="仿宋_GB2312" w:hAnsi="仿宋_GB2312" w:cs="仿宋_GB2312" w:eastAsia="仿宋_GB2312"/>
                <w:sz w:val="21"/>
              </w:rPr>
              <w:t>公里，打造入口门户区、文化展示区、亲子研学区、观景休憩区、奇境市集区、休闲步道区等功能分区，对公园实施夜景亮化改造等，</w:t>
            </w:r>
            <w:r>
              <w:rPr>
                <w:rFonts w:ascii="仿宋_GB2312" w:hAnsi="仿宋_GB2312" w:cs="仿宋_GB2312" w:eastAsia="仿宋_GB2312"/>
                <w:sz w:val="21"/>
              </w:rPr>
              <w:t>主要包括本项目的初步设计、概算编制、施工图设计、招标技术标准要求编制、招标及施工过程配合服务等工作。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1.</w:t>
            </w:r>
            <w:r>
              <w:rPr>
                <w:rFonts w:ascii="仿宋_GB2312" w:hAnsi="仿宋_GB2312" w:cs="仿宋_GB2312" w:eastAsia="仿宋_GB2312"/>
              </w:rPr>
              <w:t>设计技术标准及工作要求</w:t>
            </w:r>
          </w:p>
          <w:p>
            <w:pPr>
              <w:pStyle w:val="null3"/>
              <w:jc w:val="both"/>
            </w:pPr>
            <w:r>
              <w:rPr>
                <w:rFonts w:ascii="仿宋_GB2312" w:hAnsi="仿宋_GB2312" w:cs="仿宋_GB2312" w:eastAsia="仿宋_GB2312"/>
              </w:rPr>
              <w:t>设计目标：满足《市政公用工程设计文件编制深度规定（</w:t>
            </w:r>
            <w:r>
              <w:rPr>
                <w:rFonts w:ascii="仿宋_GB2312" w:hAnsi="仿宋_GB2312" w:cs="仿宋_GB2312" w:eastAsia="仿宋_GB2312"/>
              </w:rPr>
              <w:t>2013</w:t>
            </w:r>
            <w:r>
              <w:rPr>
                <w:rFonts w:ascii="仿宋_GB2312" w:hAnsi="仿宋_GB2312" w:cs="仿宋_GB2312" w:eastAsia="仿宋_GB2312"/>
              </w:rPr>
              <w:t>年版）》编制深度要求。</w:t>
            </w:r>
          </w:p>
          <w:p>
            <w:pPr>
              <w:pStyle w:val="null3"/>
              <w:jc w:val="both"/>
            </w:pPr>
            <w:r>
              <w:rPr>
                <w:rFonts w:ascii="仿宋_GB2312" w:hAnsi="仿宋_GB2312" w:cs="仿宋_GB2312" w:eastAsia="仿宋_GB2312"/>
              </w:rPr>
              <w:t>2.</w:t>
            </w:r>
            <w:r>
              <w:rPr>
                <w:rFonts w:ascii="仿宋_GB2312" w:hAnsi="仿宋_GB2312" w:cs="仿宋_GB2312" w:eastAsia="仿宋_GB2312"/>
              </w:rPr>
              <w:t>设计服务包括但不限于本项目的工程设计工作，按进度要求提供初步设计文件、施工图设计文件等设计成果，解决施工中的设计技术问题，配合项目竣工验收等技术服务工作。</w:t>
            </w:r>
          </w:p>
          <w:p>
            <w:pPr>
              <w:pStyle w:val="null3"/>
              <w:jc w:val="both"/>
            </w:pPr>
            <w:r>
              <w:rPr>
                <w:rFonts w:ascii="仿宋_GB2312" w:hAnsi="仿宋_GB2312" w:cs="仿宋_GB2312" w:eastAsia="仿宋_GB2312"/>
              </w:rPr>
              <w:t>3.</w:t>
            </w:r>
            <w:r>
              <w:rPr>
                <w:rFonts w:ascii="仿宋_GB2312" w:hAnsi="仿宋_GB2312" w:cs="仿宋_GB2312" w:eastAsia="仿宋_GB2312"/>
              </w:rPr>
              <w:t>适用规范、规程、标准：</w:t>
            </w:r>
          </w:p>
          <w:p>
            <w:pPr>
              <w:pStyle w:val="null3"/>
              <w:jc w:val="both"/>
            </w:pPr>
            <w:r>
              <w:rPr>
                <w:rFonts w:ascii="仿宋_GB2312" w:hAnsi="仿宋_GB2312" w:cs="仿宋_GB2312" w:eastAsia="仿宋_GB2312"/>
              </w:rPr>
              <w:t>3.I</w:t>
            </w:r>
            <w:r>
              <w:rPr>
                <w:rFonts w:ascii="仿宋_GB2312" w:hAnsi="仿宋_GB2312" w:cs="仿宋_GB2312" w:eastAsia="仿宋_GB2312"/>
              </w:rPr>
              <w:t>工程设计应符合国家现行规范、规程、标准的规定，包括但不限于如下推荐，如有后继变更，则应以最新版本或最新颁发者为准。</w:t>
            </w:r>
          </w:p>
          <w:p>
            <w:pPr>
              <w:pStyle w:val="null3"/>
              <w:jc w:val="both"/>
            </w:pPr>
            <w:r>
              <w:rPr>
                <w:rFonts w:ascii="仿宋_GB2312" w:hAnsi="仿宋_GB2312" w:cs="仿宋_GB2312" w:eastAsia="仿宋_GB2312"/>
              </w:rPr>
              <w:t>《室外给水设计标准》（</w:t>
            </w:r>
            <w:r>
              <w:rPr>
                <w:rFonts w:ascii="仿宋_GB2312" w:hAnsi="仿宋_GB2312" w:cs="仿宋_GB2312" w:eastAsia="仿宋_GB2312"/>
              </w:rPr>
              <w:t>GB50013-2018</w:t>
            </w:r>
            <w:r>
              <w:rPr>
                <w:rFonts w:ascii="仿宋_GB2312" w:hAnsi="仿宋_GB2312" w:cs="仿宋_GB2312" w:eastAsia="仿宋_GB2312"/>
              </w:rPr>
              <w:t>）</w:t>
            </w:r>
          </w:p>
          <w:p>
            <w:pPr>
              <w:pStyle w:val="null3"/>
              <w:jc w:val="both"/>
            </w:pPr>
            <w:r>
              <w:rPr>
                <w:rFonts w:ascii="仿宋_GB2312" w:hAnsi="仿宋_GB2312" w:cs="仿宋_GB2312" w:eastAsia="仿宋_GB2312"/>
              </w:rPr>
              <w:t>《城市给水工程规划规范》（</w:t>
            </w:r>
            <w:r>
              <w:rPr>
                <w:rFonts w:ascii="仿宋_GB2312" w:hAnsi="仿宋_GB2312" w:cs="仿宋_GB2312" w:eastAsia="仿宋_GB2312"/>
              </w:rPr>
              <w:t>GB50282-2016</w:t>
            </w:r>
            <w:r>
              <w:rPr>
                <w:rFonts w:ascii="仿宋_GB2312" w:hAnsi="仿宋_GB2312" w:cs="仿宋_GB2312" w:eastAsia="仿宋_GB2312"/>
              </w:rPr>
              <w:t>）</w:t>
            </w:r>
          </w:p>
          <w:p>
            <w:pPr>
              <w:pStyle w:val="null3"/>
              <w:jc w:val="both"/>
            </w:pPr>
            <w:r>
              <w:rPr>
                <w:rFonts w:ascii="仿宋_GB2312" w:hAnsi="仿宋_GB2312" w:cs="仿宋_GB2312" w:eastAsia="仿宋_GB2312"/>
              </w:rPr>
              <w:t>《城市工程管线综合规划规范》</w:t>
            </w:r>
            <w:r>
              <w:rPr>
                <w:rFonts w:ascii="仿宋_GB2312" w:hAnsi="仿宋_GB2312" w:cs="仿宋_GB2312" w:eastAsia="仿宋_GB2312"/>
              </w:rPr>
              <w:t>(GB50289-2016</w:t>
            </w:r>
            <w:r>
              <w:rPr>
                <w:rFonts w:ascii="仿宋_GB2312" w:hAnsi="仿宋_GB2312" w:cs="仿宋_GB2312" w:eastAsia="仿宋_GB2312"/>
              </w:rPr>
              <w:t>）</w:t>
            </w:r>
          </w:p>
          <w:p>
            <w:pPr>
              <w:pStyle w:val="null3"/>
              <w:jc w:val="both"/>
            </w:pPr>
            <w:r>
              <w:rPr>
                <w:rFonts w:ascii="仿宋_GB2312" w:hAnsi="仿宋_GB2312" w:cs="仿宋_GB2312" w:eastAsia="仿宋_GB2312"/>
              </w:rPr>
              <w:t>《泵站设计标准》（</w:t>
            </w:r>
            <w:r>
              <w:rPr>
                <w:rFonts w:ascii="仿宋_GB2312" w:hAnsi="仿宋_GB2312" w:cs="仿宋_GB2312" w:eastAsia="仿宋_GB2312"/>
              </w:rPr>
              <w:t>GB50265-2022</w:t>
            </w:r>
            <w:r>
              <w:rPr>
                <w:rFonts w:ascii="仿宋_GB2312" w:hAnsi="仿宋_GB2312" w:cs="仿宋_GB2312" w:eastAsia="仿宋_GB2312"/>
              </w:rPr>
              <w:t>）</w:t>
            </w:r>
          </w:p>
          <w:p>
            <w:pPr>
              <w:pStyle w:val="null3"/>
              <w:jc w:val="both"/>
            </w:pPr>
            <w:r>
              <w:rPr>
                <w:rFonts w:ascii="仿宋_GB2312" w:hAnsi="仿宋_GB2312" w:cs="仿宋_GB2312" w:eastAsia="仿宋_GB2312"/>
              </w:rPr>
              <w:t>《给水排水工程管道结构设计规范》</w:t>
            </w:r>
            <w:r>
              <w:rPr>
                <w:rFonts w:ascii="仿宋_GB2312" w:hAnsi="仿宋_GB2312" w:cs="仿宋_GB2312" w:eastAsia="仿宋_GB2312"/>
              </w:rPr>
              <w:t>(JB50332-2002)</w:t>
            </w:r>
          </w:p>
          <w:p>
            <w:pPr>
              <w:pStyle w:val="null3"/>
              <w:jc w:val="both"/>
            </w:pPr>
            <w:r>
              <w:rPr>
                <w:rFonts w:ascii="仿宋_GB2312" w:hAnsi="仿宋_GB2312" w:cs="仿宋_GB2312" w:eastAsia="仿宋_GB2312"/>
              </w:rPr>
              <w:t>《给水排水管道工程施工及验收规范》（</w:t>
            </w:r>
            <w:r>
              <w:rPr>
                <w:rFonts w:ascii="仿宋_GB2312" w:hAnsi="仿宋_GB2312" w:cs="仿宋_GB2312" w:eastAsia="仿宋_GB2312"/>
              </w:rPr>
              <w:t>GB50268-2008</w:t>
            </w:r>
            <w:r>
              <w:rPr>
                <w:rFonts w:ascii="仿宋_GB2312" w:hAnsi="仿宋_GB2312" w:cs="仿宋_GB2312" w:eastAsia="仿宋_GB2312"/>
              </w:rPr>
              <w:t>）《给水排水构筑物工程施工及验收规范》（</w:t>
            </w:r>
            <w:r>
              <w:rPr>
                <w:rFonts w:ascii="仿宋_GB2312" w:hAnsi="仿宋_GB2312" w:cs="仿宋_GB2312" w:eastAsia="仿宋_GB2312"/>
              </w:rPr>
              <w:t>GB 50141-2008</w:t>
            </w:r>
            <w:r>
              <w:rPr>
                <w:rFonts w:ascii="仿宋_GB2312" w:hAnsi="仿宋_GB2312" w:cs="仿宋_GB2312" w:eastAsia="仿宋_GB2312"/>
              </w:rPr>
              <w:t>）</w:t>
            </w:r>
          </w:p>
          <w:p>
            <w:pPr>
              <w:pStyle w:val="null3"/>
              <w:jc w:val="both"/>
            </w:pPr>
            <w:r>
              <w:rPr>
                <w:rFonts w:ascii="仿宋_GB2312" w:hAnsi="仿宋_GB2312" w:cs="仿宋_GB2312" w:eastAsia="仿宋_GB2312"/>
              </w:rPr>
              <w:t>《给水排水工程顶管技术规程》（</w:t>
            </w:r>
            <w:r>
              <w:rPr>
                <w:rFonts w:ascii="仿宋_GB2312" w:hAnsi="仿宋_GB2312" w:cs="仿宋_GB2312" w:eastAsia="仿宋_GB2312"/>
              </w:rPr>
              <w:t>CECS246:2008</w:t>
            </w:r>
            <w:r>
              <w:rPr>
                <w:rFonts w:ascii="仿宋_GB2312" w:hAnsi="仿宋_GB2312" w:cs="仿宋_GB2312" w:eastAsia="仿宋_GB2312"/>
              </w:rPr>
              <w:t>）</w:t>
            </w:r>
          </w:p>
          <w:p>
            <w:pPr>
              <w:pStyle w:val="null3"/>
              <w:jc w:val="both"/>
            </w:pPr>
            <w:r>
              <w:rPr>
                <w:rFonts w:ascii="仿宋_GB2312" w:hAnsi="仿宋_GB2312" w:cs="仿宋_GB2312" w:eastAsia="仿宋_GB2312"/>
              </w:rPr>
              <w:t>《室外给水排水和燃气热力工程抗震设计规范》</w:t>
            </w:r>
          </w:p>
          <w:p>
            <w:pPr>
              <w:pStyle w:val="null3"/>
              <w:jc w:val="both"/>
            </w:pPr>
            <w:r>
              <w:rPr>
                <w:rFonts w:ascii="仿宋_GB2312" w:hAnsi="仿宋_GB2312" w:cs="仿宋_GB2312" w:eastAsia="仿宋_GB2312"/>
              </w:rPr>
              <w:t>(GB50032-2003)</w:t>
            </w:r>
          </w:p>
          <w:p>
            <w:pPr>
              <w:pStyle w:val="null3"/>
              <w:jc w:val="both"/>
            </w:pPr>
            <w:r>
              <w:rPr>
                <w:rFonts w:ascii="仿宋_GB2312" w:hAnsi="仿宋_GB2312" w:cs="仿宋_GB2312" w:eastAsia="仿宋_GB2312"/>
              </w:rPr>
              <w:t>《水及燃气管道用球墨铸铁管、管件和附件》（</w:t>
            </w:r>
            <w:r>
              <w:rPr>
                <w:rFonts w:ascii="仿宋_GB2312" w:hAnsi="仿宋_GB2312" w:cs="仿宋_GB2312" w:eastAsia="仿宋_GB2312"/>
              </w:rPr>
              <w:t>GB/T13295-2019</w:t>
            </w:r>
            <w:r>
              <w:rPr>
                <w:rFonts w:ascii="仿宋_GB2312" w:hAnsi="仿宋_GB2312" w:cs="仿宋_GB2312" w:eastAsia="仿宋_GB2312"/>
              </w:rPr>
              <w:t>）</w:t>
            </w:r>
          </w:p>
          <w:p>
            <w:pPr>
              <w:pStyle w:val="null3"/>
              <w:jc w:val="both"/>
            </w:pPr>
            <w:r>
              <w:rPr>
                <w:rFonts w:ascii="仿宋_GB2312" w:hAnsi="仿宋_GB2312" w:cs="仿宋_GB2312" w:eastAsia="仿宋_GB2312"/>
              </w:rPr>
              <w:t>《城镇排水管道非开挖修复更新工程技术规程》（</w:t>
            </w:r>
            <w:r>
              <w:rPr>
                <w:rFonts w:ascii="仿宋_GB2312" w:hAnsi="仿宋_GB2312" w:cs="仿宋_GB2312" w:eastAsia="仿宋_GB2312"/>
              </w:rPr>
              <w:t>CJJ/T210-2014</w:t>
            </w:r>
            <w:r>
              <w:rPr>
                <w:rFonts w:ascii="仿宋_GB2312" w:hAnsi="仿宋_GB2312" w:cs="仿宋_GB2312" w:eastAsia="仿宋_GB2312"/>
              </w:rPr>
              <w:t>）</w:t>
            </w:r>
          </w:p>
          <w:p>
            <w:pPr>
              <w:pStyle w:val="null3"/>
              <w:jc w:val="both"/>
            </w:pPr>
            <w:r>
              <w:rPr>
                <w:rFonts w:ascii="仿宋_GB2312" w:hAnsi="仿宋_GB2312" w:cs="仿宋_GB2312" w:eastAsia="仿宋_GB2312"/>
              </w:rPr>
              <w:t>《城镇排水管渠与泵站运行、维护及安全技术规程》（</w:t>
            </w:r>
            <w:r>
              <w:rPr>
                <w:rFonts w:ascii="仿宋_GB2312" w:hAnsi="仿宋_GB2312" w:cs="仿宋_GB2312" w:eastAsia="仿宋_GB2312"/>
              </w:rPr>
              <w:t>CJJ68-2016</w:t>
            </w:r>
            <w:r>
              <w:rPr>
                <w:rFonts w:ascii="仿宋_GB2312" w:hAnsi="仿宋_GB2312" w:cs="仿宋_GB2312" w:eastAsia="仿宋_GB2312"/>
              </w:rPr>
              <w:t>）</w:t>
            </w:r>
          </w:p>
          <w:p>
            <w:pPr>
              <w:pStyle w:val="null3"/>
              <w:jc w:val="both"/>
            </w:pPr>
            <w:r>
              <w:rPr>
                <w:rFonts w:ascii="仿宋_GB2312" w:hAnsi="仿宋_GB2312" w:cs="仿宋_GB2312" w:eastAsia="仿宋_GB2312"/>
              </w:rPr>
              <w:t>《民用建筑设计统一标准》</w:t>
            </w:r>
            <w:r>
              <w:rPr>
                <w:rFonts w:ascii="仿宋_GB2312" w:hAnsi="仿宋_GB2312" w:cs="仿宋_GB2312" w:eastAsia="仿宋_GB2312"/>
              </w:rPr>
              <w:t>GB50352-2019</w:t>
            </w:r>
          </w:p>
          <w:p>
            <w:pPr>
              <w:pStyle w:val="null3"/>
              <w:jc w:val="both"/>
            </w:pPr>
            <w:r>
              <w:rPr>
                <w:rFonts w:ascii="仿宋_GB2312" w:hAnsi="仿宋_GB2312" w:cs="仿宋_GB2312" w:eastAsia="仿宋_GB2312"/>
              </w:rPr>
              <w:t>《民用建筑通用规范》</w:t>
            </w:r>
            <w:r>
              <w:rPr>
                <w:rFonts w:ascii="仿宋_GB2312" w:hAnsi="仿宋_GB2312" w:cs="仿宋_GB2312" w:eastAsia="仿宋_GB2312"/>
              </w:rPr>
              <w:t>GB55031-2022</w:t>
            </w:r>
          </w:p>
          <w:p>
            <w:pPr>
              <w:pStyle w:val="null3"/>
              <w:jc w:val="both"/>
            </w:pPr>
            <w:r>
              <w:rPr>
                <w:rFonts w:ascii="仿宋_GB2312" w:hAnsi="仿宋_GB2312" w:cs="仿宋_GB2312" w:eastAsia="仿宋_GB2312"/>
              </w:rPr>
              <w:t>《建筑地基基础设计规范》（</w:t>
            </w:r>
            <w:r>
              <w:rPr>
                <w:rFonts w:ascii="仿宋_GB2312" w:hAnsi="仿宋_GB2312" w:cs="仿宋_GB2312" w:eastAsia="仿宋_GB2312"/>
              </w:rPr>
              <w:t>GB50007-2011</w:t>
            </w:r>
            <w:r>
              <w:rPr>
                <w:rFonts w:ascii="仿宋_GB2312" w:hAnsi="仿宋_GB2312" w:cs="仿宋_GB2312" w:eastAsia="仿宋_GB2312"/>
              </w:rPr>
              <w:t>）</w:t>
            </w:r>
          </w:p>
          <w:p>
            <w:pPr>
              <w:pStyle w:val="null3"/>
              <w:jc w:val="both"/>
            </w:pPr>
            <w:r>
              <w:rPr>
                <w:rFonts w:ascii="仿宋_GB2312" w:hAnsi="仿宋_GB2312" w:cs="仿宋_GB2312" w:eastAsia="仿宋_GB2312"/>
              </w:rPr>
              <w:t>《建筑防火通用规范》</w:t>
            </w:r>
            <w:r>
              <w:rPr>
                <w:rFonts w:ascii="仿宋_GB2312" w:hAnsi="仿宋_GB2312" w:cs="仿宋_GB2312" w:eastAsia="仿宋_GB2312"/>
              </w:rPr>
              <w:t>GB55037-2022</w:t>
            </w:r>
          </w:p>
          <w:p>
            <w:pPr>
              <w:pStyle w:val="null3"/>
              <w:jc w:val="both"/>
            </w:pPr>
            <w:r>
              <w:rPr>
                <w:rFonts w:ascii="仿宋_GB2312" w:hAnsi="仿宋_GB2312" w:cs="仿宋_GB2312" w:eastAsia="仿宋_GB2312"/>
              </w:rPr>
              <w:t>《建筑抗震设计规范》（</w:t>
            </w:r>
            <w:r>
              <w:rPr>
                <w:rFonts w:ascii="仿宋_GB2312" w:hAnsi="仿宋_GB2312" w:cs="仿宋_GB2312" w:eastAsia="仿宋_GB2312"/>
              </w:rPr>
              <w:t>GB50011-2010</w:t>
            </w:r>
            <w:r>
              <w:rPr>
                <w:rFonts w:ascii="仿宋_GB2312" w:hAnsi="仿宋_GB2312" w:cs="仿宋_GB2312" w:eastAsia="仿宋_GB2312"/>
              </w:rPr>
              <w:t>（</w:t>
            </w:r>
            <w:r>
              <w:rPr>
                <w:rFonts w:ascii="仿宋_GB2312" w:hAnsi="仿宋_GB2312" w:cs="仿宋_GB2312" w:eastAsia="仿宋_GB2312"/>
              </w:rPr>
              <w:t>2024</w:t>
            </w:r>
            <w:r>
              <w:rPr>
                <w:rFonts w:ascii="仿宋_GB2312" w:hAnsi="仿宋_GB2312" w:cs="仿宋_GB2312" w:eastAsia="仿宋_GB2312"/>
              </w:rPr>
              <w:t>版）</w:t>
            </w:r>
          </w:p>
          <w:p>
            <w:pPr>
              <w:pStyle w:val="null3"/>
              <w:jc w:val="both"/>
            </w:pPr>
            <w:r>
              <w:rPr>
                <w:rFonts w:ascii="仿宋_GB2312" w:hAnsi="仿宋_GB2312" w:cs="仿宋_GB2312" w:eastAsia="仿宋_GB2312"/>
              </w:rPr>
              <w:t>《建筑工程施工质量验收统一标准》</w:t>
            </w:r>
            <w:r>
              <w:rPr>
                <w:rFonts w:ascii="仿宋_GB2312" w:hAnsi="仿宋_GB2312" w:cs="仿宋_GB2312" w:eastAsia="仿宋_GB2312"/>
              </w:rPr>
              <w:t>(GB50300-2001)</w:t>
            </w:r>
          </w:p>
          <w:p>
            <w:pPr>
              <w:pStyle w:val="null3"/>
              <w:jc w:val="both"/>
            </w:pPr>
            <w:r>
              <w:rPr>
                <w:rFonts w:ascii="仿宋_GB2312" w:hAnsi="仿宋_GB2312" w:cs="仿宋_GB2312" w:eastAsia="仿宋_GB2312"/>
              </w:rPr>
              <w:t>《施工现场临时用电安全技术规范》</w:t>
            </w:r>
            <w:r>
              <w:rPr>
                <w:rFonts w:ascii="仿宋_GB2312" w:hAnsi="仿宋_GB2312" w:cs="仿宋_GB2312" w:eastAsia="仿宋_GB2312"/>
              </w:rPr>
              <w:t>(JGJ46-2005)</w:t>
            </w:r>
          </w:p>
          <w:p>
            <w:pPr>
              <w:pStyle w:val="null3"/>
              <w:jc w:val="both"/>
            </w:pPr>
            <w:r>
              <w:rPr>
                <w:rFonts w:ascii="仿宋_GB2312" w:hAnsi="仿宋_GB2312" w:cs="仿宋_GB2312" w:eastAsia="仿宋_GB2312"/>
              </w:rPr>
              <w:t>《建设工程项目管理规范》</w:t>
            </w:r>
            <w:r>
              <w:rPr>
                <w:rFonts w:ascii="仿宋_GB2312" w:hAnsi="仿宋_GB2312" w:cs="仿宋_GB2312" w:eastAsia="仿宋_GB2312"/>
              </w:rPr>
              <w:t>(GB/T50326-2001)</w:t>
            </w:r>
          </w:p>
          <w:p>
            <w:pPr>
              <w:pStyle w:val="null3"/>
              <w:jc w:val="both"/>
            </w:pPr>
            <w:r>
              <w:rPr>
                <w:rFonts w:ascii="仿宋_GB2312" w:hAnsi="仿宋_GB2312" w:cs="仿宋_GB2312" w:eastAsia="仿宋_GB2312"/>
              </w:rPr>
              <w:t>《建筑工程设计文件编制深度规定》</w:t>
            </w:r>
            <w:r>
              <w:rPr>
                <w:rFonts w:ascii="仿宋_GB2312" w:hAnsi="仿宋_GB2312" w:cs="仿宋_GB2312" w:eastAsia="仿宋_GB2312"/>
              </w:rPr>
              <w:t>(2016</w:t>
            </w:r>
            <w:r>
              <w:rPr>
                <w:rFonts w:ascii="仿宋_GB2312" w:hAnsi="仿宋_GB2312" w:cs="仿宋_GB2312" w:eastAsia="仿宋_GB2312"/>
              </w:rPr>
              <w:t>版</w:t>
            </w:r>
            <w:r>
              <w:rPr>
                <w:rFonts w:ascii="仿宋_GB2312" w:hAnsi="仿宋_GB2312" w:cs="仿宋_GB2312" w:eastAsia="仿宋_GB2312"/>
              </w:rPr>
              <w:t>)</w:t>
            </w:r>
          </w:p>
          <w:p>
            <w:pPr>
              <w:pStyle w:val="null3"/>
              <w:jc w:val="both"/>
            </w:pPr>
            <w:r>
              <w:rPr>
                <w:rFonts w:ascii="仿宋_GB2312" w:hAnsi="仿宋_GB2312" w:cs="仿宋_GB2312" w:eastAsia="仿宋_GB2312"/>
              </w:rPr>
              <w:t>《建筑制图标准》</w:t>
            </w:r>
            <w:r>
              <w:rPr>
                <w:rFonts w:ascii="仿宋_GB2312" w:hAnsi="仿宋_GB2312" w:cs="仿宋_GB2312" w:eastAsia="仿宋_GB2312"/>
              </w:rPr>
              <w:t>(GB/T50104-2010)</w:t>
            </w:r>
          </w:p>
          <w:p>
            <w:pPr>
              <w:pStyle w:val="null3"/>
              <w:jc w:val="both"/>
            </w:pPr>
            <w:r>
              <w:rPr>
                <w:rFonts w:ascii="仿宋_GB2312" w:hAnsi="仿宋_GB2312" w:cs="仿宋_GB2312" w:eastAsia="仿宋_GB2312"/>
              </w:rPr>
              <w:t>《建筑设计防火规范》</w:t>
            </w:r>
            <w:r>
              <w:rPr>
                <w:rFonts w:ascii="仿宋_GB2312" w:hAnsi="仿宋_GB2312" w:cs="仿宋_GB2312" w:eastAsia="仿宋_GB2312"/>
              </w:rPr>
              <w:t>GB50016</w:t>
            </w:r>
            <w:r>
              <w:rPr>
                <w:rFonts w:ascii="仿宋_GB2312" w:hAnsi="仿宋_GB2312" w:cs="仿宋_GB2312" w:eastAsia="仿宋_GB2312"/>
              </w:rPr>
              <w:t>—</w:t>
            </w:r>
            <w:r>
              <w:rPr>
                <w:rFonts w:ascii="仿宋_GB2312" w:hAnsi="仿宋_GB2312" w:cs="仿宋_GB2312" w:eastAsia="仿宋_GB2312"/>
              </w:rPr>
              <w:t>2014</w:t>
            </w:r>
            <w:r>
              <w:rPr>
                <w:rFonts w:ascii="仿宋_GB2312" w:hAnsi="仿宋_GB2312" w:cs="仿宋_GB2312" w:eastAsia="仿宋_GB2312"/>
              </w:rPr>
              <w:t>（</w:t>
            </w:r>
            <w:r>
              <w:rPr>
                <w:rFonts w:ascii="仿宋_GB2312" w:hAnsi="仿宋_GB2312" w:cs="仿宋_GB2312" w:eastAsia="仿宋_GB2312"/>
              </w:rPr>
              <w:t>2018</w:t>
            </w:r>
            <w:r>
              <w:rPr>
                <w:rFonts w:ascii="仿宋_GB2312" w:hAnsi="仿宋_GB2312" w:cs="仿宋_GB2312" w:eastAsia="仿宋_GB2312"/>
              </w:rPr>
              <w:t>年版）</w:t>
            </w:r>
          </w:p>
          <w:p>
            <w:pPr>
              <w:pStyle w:val="null3"/>
              <w:jc w:val="both"/>
            </w:pPr>
            <w:r>
              <w:rPr>
                <w:rFonts w:ascii="仿宋_GB2312" w:hAnsi="仿宋_GB2312" w:cs="仿宋_GB2312" w:eastAsia="仿宋_GB2312"/>
              </w:rPr>
              <w:t>《建筑基坑支护技术规范》（</w:t>
            </w:r>
            <w:r>
              <w:rPr>
                <w:rFonts w:ascii="仿宋_GB2312" w:hAnsi="仿宋_GB2312" w:cs="仿宋_GB2312" w:eastAsia="仿宋_GB2312"/>
              </w:rPr>
              <w:t>JGJ120-2012</w:t>
            </w:r>
            <w:r>
              <w:rPr>
                <w:rFonts w:ascii="仿宋_GB2312" w:hAnsi="仿宋_GB2312" w:cs="仿宋_GB2312" w:eastAsia="仿宋_GB2312"/>
              </w:rPr>
              <w:t>）</w:t>
            </w:r>
          </w:p>
          <w:p>
            <w:pPr>
              <w:pStyle w:val="null3"/>
              <w:jc w:val="both"/>
            </w:pPr>
            <w:r>
              <w:rPr>
                <w:rFonts w:ascii="仿宋_GB2312" w:hAnsi="仿宋_GB2312" w:cs="仿宋_GB2312" w:eastAsia="仿宋_GB2312"/>
              </w:rPr>
              <w:t>《建筑基坑支护技术与安全规程》（</w:t>
            </w:r>
            <w:r>
              <w:rPr>
                <w:rFonts w:ascii="仿宋_GB2312" w:hAnsi="仿宋_GB2312" w:cs="仿宋_GB2312" w:eastAsia="仿宋_GB2312"/>
              </w:rPr>
              <w:t>DBJ61/T105-2015</w:t>
            </w:r>
            <w:r>
              <w:rPr>
                <w:rFonts w:ascii="仿宋_GB2312" w:hAnsi="仿宋_GB2312" w:cs="仿宋_GB2312" w:eastAsia="仿宋_GB2312"/>
              </w:rPr>
              <w:t>）</w:t>
            </w:r>
          </w:p>
          <w:p>
            <w:pPr>
              <w:pStyle w:val="null3"/>
              <w:jc w:val="both"/>
            </w:pPr>
            <w:r>
              <w:rPr>
                <w:rFonts w:ascii="仿宋_GB2312" w:hAnsi="仿宋_GB2312" w:cs="仿宋_GB2312" w:eastAsia="仿宋_GB2312"/>
              </w:rPr>
              <w:t>《湿陷性黄土地区建筑基坑工程安全技术规程》</w:t>
            </w:r>
            <w:r>
              <w:rPr>
                <w:rFonts w:ascii="仿宋_GB2312" w:hAnsi="仿宋_GB2312" w:cs="仿宋_GB2312" w:eastAsia="仿宋_GB2312"/>
              </w:rPr>
              <w:t>(JGJ167-2009)</w:t>
            </w:r>
          </w:p>
          <w:p>
            <w:pPr>
              <w:pStyle w:val="null3"/>
              <w:jc w:val="both"/>
            </w:pPr>
            <w:r>
              <w:rPr>
                <w:rFonts w:ascii="仿宋_GB2312" w:hAnsi="仿宋_GB2312" w:cs="仿宋_GB2312" w:eastAsia="仿宋_GB2312"/>
              </w:rPr>
              <w:t>《湿陷性黄土地区建筑标准》（</w:t>
            </w:r>
            <w:r>
              <w:rPr>
                <w:rFonts w:ascii="仿宋_GB2312" w:hAnsi="仿宋_GB2312" w:cs="仿宋_GB2312" w:eastAsia="仿宋_GB2312"/>
              </w:rPr>
              <w:t>GB50025-2018</w:t>
            </w:r>
            <w:r>
              <w:rPr>
                <w:rFonts w:ascii="仿宋_GB2312" w:hAnsi="仿宋_GB2312" w:cs="仿宋_GB2312" w:eastAsia="仿宋_GB2312"/>
              </w:rPr>
              <w:t>）</w:t>
            </w:r>
          </w:p>
          <w:p>
            <w:pPr>
              <w:pStyle w:val="null3"/>
              <w:jc w:val="both"/>
            </w:pPr>
            <w:r>
              <w:rPr>
                <w:rFonts w:ascii="仿宋_GB2312" w:hAnsi="仿宋_GB2312" w:cs="仿宋_GB2312" w:eastAsia="仿宋_GB2312"/>
              </w:rPr>
              <w:t>《工程结构通用规范》（</w:t>
            </w:r>
            <w:r>
              <w:rPr>
                <w:rFonts w:ascii="仿宋_GB2312" w:hAnsi="仿宋_GB2312" w:cs="仿宋_GB2312" w:eastAsia="仿宋_GB2312"/>
              </w:rPr>
              <w:t>GB55001-2021</w:t>
            </w:r>
            <w:r>
              <w:rPr>
                <w:rFonts w:ascii="仿宋_GB2312" w:hAnsi="仿宋_GB2312" w:cs="仿宋_GB2312" w:eastAsia="仿宋_GB2312"/>
              </w:rPr>
              <w:t>）</w:t>
            </w:r>
          </w:p>
          <w:p>
            <w:pPr>
              <w:pStyle w:val="null3"/>
              <w:jc w:val="both"/>
            </w:pPr>
            <w:r>
              <w:rPr>
                <w:rFonts w:ascii="仿宋_GB2312" w:hAnsi="仿宋_GB2312" w:cs="仿宋_GB2312" w:eastAsia="仿宋_GB2312"/>
              </w:rPr>
              <w:t>《建筑与市政工程抗震通用规范》（</w:t>
            </w:r>
            <w:r>
              <w:rPr>
                <w:rFonts w:ascii="仿宋_GB2312" w:hAnsi="仿宋_GB2312" w:cs="仿宋_GB2312" w:eastAsia="仿宋_GB2312"/>
              </w:rPr>
              <w:t>GB55002-2021</w:t>
            </w:r>
            <w:r>
              <w:rPr>
                <w:rFonts w:ascii="仿宋_GB2312" w:hAnsi="仿宋_GB2312" w:cs="仿宋_GB2312" w:eastAsia="仿宋_GB2312"/>
              </w:rPr>
              <w:t>）</w:t>
            </w:r>
          </w:p>
          <w:p>
            <w:pPr>
              <w:pStyle w:val="null3"/>
              <w:jc w:val="both"/>
            </w:pPr>
            <w:r>
              <w:rPr>
                <w:rFonts w:ascii="仿宋_GB2312" w:hAnsi="仿宋_GB2312" w:cs="仿宋_GB2312" w:eastAsia="仿宋_GB2312"/>
              </w:rPr>
              <w:t>《建筑与市政地基基础通用规范》（</w:t>
            </w:r>
            <w:r>
              <w:rPr>
                <w:rFonts w:ascii="仿宋_GB2312" w:hAnsi="仿宋_GB2312" w:cs="仿宋_GB2312" w:eastAsia="仿宋_GB2312"/>
              </w:rPr>
              <w:t>GB55003-2021</w:t>
            </w:r>
            <w:r>
              <w:rPr>
                <w:rFonts w:ascii="仿宋_GB2312" w:hAnsi="仿宋_GB2312" w:cs="仿宋_GB2312" w:eastAsia="仿宋_GB2312"/>
              </w:rPr>
              <w:t>）</w:t>
            </w:r>
          </w:p>
          <w:p>
            <w:pPr>
              <w:pStyle w:val="null3"/>
              <w:jc w:val="both"/>
            </w:pPr>
            <w:r>
              <w:rPr>
                <w:rFonts w:ascii="仿宋_GB2312" w:hAnsi="仿宋_GB2312" w:cs="仿宋_GB2312" w:eastAsia="仿宋_GB2312"/>
              </w:rPr>
              <w:t>《危险性较大的分部分项工程安全管理规定》（（</w:t>
            </w:r>
            <w:r>
              <w:rPr>
                <w:rFonts w:ascii="仿宋_GB2312" w:hAnsi="仿宋_GB2312" w:cs="仿宋_GB2312" w:eastAsia="仿宋_GB2312"/>
              </w:rPr>
              <w:t>2018</w:t>
            </w:r>
            <w:r>
              <w:rPr>
                <w:rFonts w:ascii="仿宋_GB2312" w:hAnsi="仿宋_GB2312" w:cs="仿宋_GB2312" w:eastAsia="仿宋_GB2312"/>
              </w:rPr>
              <w:t>）</w:t>
            </w:r>
            <w:r>
              <w:rPr>
                <w:rFonts w:ascii="仿宋_GB2312" w:hAnsi="仿宋_GB2312" w:cs="仿宋_GB2312" w:eastAsia="仿宋_GB2312"/>
              </w:rPr>
              <w:t>37</w:t>
            </w:r>
            <w:r>
              <w:rPr>
                <w:rFonts w:ascii="仿宋_GB2312" w:hAnsi="仿宋_GB2312" w:cs="仿宋_GB2312" w:eastAsia="仿宋_GB2312"/>
              </w:rPr>
              <w:t>号）</w:t>
            </w:r>
          </w:p>
          <w:p>
            <w:pPr>
              <w:pStyle w:val="null3"/>
              <w:jc w:val="both"/>
            </w:pPr>
            <w:r>
              <w:rPr>
                <w:rFonts w:ascii="仿宋_GB2312" w:hAnsi="仿宋_GB2312" w:cs="仿宋_GB2312" w:eastAsia="仿宋_GB2312"/>
              </w:rPr>
              <w:t>3.2</w:t>
            </w:r>
            <w:r>
              <w:rPr>
                <w:rFonts w:ascii="仿宋_GB2312" w:hAnsi="仿宋_GB2312" w:cs="仿宋_GB2312" w:eastAsia="仿宋_GB2312"/>
              </w:rPr>
              <w:t>上述规范和标准如发生不一致时，则以要求最为严格的规范、规程或标准作为工作依据。</w:t>
            </w:r>
          </w:p>
          <w:p>
            <w:pPr>
              <w:pStyle w:val="null3"/>
              <w:jc w:val="both"/>
            </w:pPr>
            <w:r>
              <w:rPr>
                <w:rFonts w:ascii="仿宋_GB2312" w:hAnsi="仿宋_GB2312" w:cs="仿宋_GB2312" w:eastAsia="仿宋_GB2312"/>
              </w:rPr>
              <w:t>4.</w:t>
            </w:r>
            <w:r>
              <w:rPr>
                <w:rFonts w:ascii="仿宋_GB2312" w:hAnsi="仿宋_GB2312" w:cs="仿宋_GB2312" w:eastAsia="仿宋_GB2312"/>
              </w:rPr>
              <w:t>设计文件要求：</w:t>
            </w:r>
          </w:p>
          <w:p>
            <w:pPr>
              <w:pStyle w:val="null3"/>
              <w:jc w:val="both"/>
            </w:pPr>
            <w:r>
              <w:rPr>
                <w:rFonts w:ascii="仿宋_GB2312" w:hAnsi="仿宋_GB2312" w:cs="仿宋_GB2312" w:eastAsia="仿宋_GB2312"/>
                <w:sz w:val="21"/>
              </w:rPr>
              <w:t>市政工程设计投标文件宜达到建设部《市政公用工程设计文件编制深度规定（</w:t>
            </w:r>
            <w:r>
              <w:rPr>
                <w:rFonts w:ascii="仿宋_GB2312" w:hAnsi="仿宋_GB2312" w:cs="仿宋_GB2312" w:eastAsia="仿宋_GB2312"/>
                <w:sz w:val="21"/>
              </w:rPr>
              <w:t>2013</w:t>
            </w:r>
            <w:r>
              <w:rPr>
                <w:rFonts w:ascii="仿宋_GB2312" w:hAnsi="仿宋_GB2312" w:cs="仿宋_GB2312" w:eastAsia="仿宋_GB2312"/>
                <w:sz w:val="21"/>
              </w:rPr>
              <w:t>年版）》相应设计阶段的要求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rPr>
              <w:t>报价方式：</w:t>
            </w:r>
            <w:r>
              <w:rPr>
                <w:rFonts w:ascii="仿宋_GB2312" w:hAnsi="仿宋_GB2312" w:cs="仿宋_GB2312" w:eastAsia="仿宋_GB2312"/>
                <w:sz w:val="18"/>
              </w:rPr>
              <w:t>按总价报价；</w:t>
            </w:r>
            <w:r>
              <w:rPr>
                <w:rFonts w:ascii="仿宋_GB2312" w:hAnsi="仿宋_GB2312" w:cs="仿宋_GB2312" w:eastAsia="仿宋_GB2312"/>
                <w:sz w:val="21"/>
              </w:rPr>
              <w:t>包含完成本项目所有工作内容的费用，包括但不限于设计费、现场配合费、食宿费、差旅费、设计文件工本费、专家评审费、研究报告费、所有税费及发包人变更委托设计项目、规模、要求条件或由政府政策变化引起的价格浮动风险等，发包人不再另行支付设计人任何款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根据磋商文件要求及合同约定执行，符合国家或行业相关标准。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设计人交付满足发包人要求的设计文件并经发包人验收合格后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工程竣工决算审计完成，设计人向发包人提出书面申请，支付剩余设计费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根据磋商文件要求及合同约定执行，符合国家或行业相关标准。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投标人须具备建设行政部门核发的工程设计综合甲级资质或市政行业工程设计（道路工程或风景园林工程设计）乙级及以上资质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拟派该项目负责人需具备相关专业中级及以上职称。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保证措施及承诺</w:t>
            </w:r>
          </w:p>
        </w:tc>
        <w:tc>
          <w:tcPr>
            <w:tcW w:type="dxa" w:w="2492"/>
          </w:tcPr>
          <w:p>
            <w:pPr>
              <w:pStyle w:val="null3"/>
            </w:pPr>
            <w:r>
              <w:rPr>
                <w:rFonts w:ascii="仿宋_GB2312" w:hAnsi="仿宋_GB2312" w:cs="仿宋_GB2312" w:eastAsia="仿宋_GB2312"/>
              </w:rPr>
              <w:t>针对本项目的设计质量、造价控制、设计进度等方面的质量保证措施及承诺。 1、思路清晰、内容全面、保证措施及相应承诺详细，完全符合本次采购需求，计 12分； 2、思路、内容较完整，保证措施及相应承诺较详细，基本符合本次采购需求，计8分； 3、思路有偏差、保证措施及相应承诺简单，计4分； 4、思路有较大偏差、保证措施及相应承诺空泛，计1分； 5、未提供的不计分。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拟投入本项目的工具、设备配置</w:t>
            </w:r>
          </w:p>
        </w:tc>
        <w:tc>
          <w:tcPr>
            <w:tcW w:type="dxa" w:w="2492"/>
          </w:tcPr>
          <w:p>
            <w:pPr>
              <w:pStyle w:val="null3"/>
            </w:pPr>
            <w:r>
              <w:rPr>
                <w:rFonts w:ascii="仿宋_GB2312" w:hAnsi="仿宋_GB2312" w:cs="仿宋_GB2312" w:eastAsia="仿宋_GB2312"/>
              </w:rPr>
              <w:t>拟投入本项目的工具、设备配置的数量及种类齐全、合理。 1、工具、设备配置的数量及种类齐全、合理，满足采购人需求，计5分； 2、工具、设备配置的数量及种类较齐全、合理，基本满足采购人需求，计3分； 3、工具、设备配置的数量不齐全、种类简单，计1分；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针对本项目实施过程中突发状况提出应急服务方案，能够保证项目顺利实施。 1、方案完善、切实可行，计8分； 2、方案较完善、可行度较高，计6分； 3、方案简单，可行性不足，计3分。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项目理解及分析</w:t>
            </w:r>
          </w:p>
        </w:tc>
        <w:tc>
          <w:tcPr>
            <w:tcW w:type="dxa" w:w="2492"/>
          </w:tcPr>
          <w:p>
            <w:pPr>
              <w:pStyle w:val="null3"/>
            </w:pPr>
            <w:r>
              <w:rPr>
                <w:rFonts w:ascii="仿宋_GB2312" w:hAnsi="仿宋_GB2312" w:cs="仿宋_GB2312" w:eastAsia="仿宋_GB2312"/>
              </w:rPr>
              <w:t>供应商对本项目背景、服务内容、目标需求理解全面，分析到位；对本项目设计实施阶段的重点难点进行分析并提出解决思路。 1、理解全面、重点难点分析完整、解决思路合理，计8分； 2、理解较全面、重点难点分析较完整、解决思路基本合理，计6分； 3、理解不全面、重点难点分析不到位、解决思路不合理，计3分；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供应商针对本项目有完善的实施方案（包括但不限于工程的方案设计、初步设计、施工图设计、设计概算及相关设计服务等）。 1、实施方案内容完善详实、相关措施科学合理、可行性强，计12分； 2、实施方案内容较完善、相关措施基本合理可行，计8分； 3、实施方案内容不缺项，但简单笼统，合理性可行性一般，计4分； 4、整体设计方案内容缺1项，已提供内容基本合理可行，计1分； 5、未提供的不计分。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1、拟派项目负责人具备相关专业高级及以上技术职称（含高级技术职称）的计5分，具备中级技术职称的计3分，其它情况不计分。 注：以拟派项目负责人相关证书及开标前6个月内供应商为其缴纳社保的证明材料为准，未提供或提供不全不计分。 拟派项目负责人具有2022年7月1日至今类似设计项目业绩（以合同签订时间为准），每提供一份有效业绩计1分，最高计5分。 注：拟派项目负责人业绩证明材料以合同（合同中须体现拟派项目负责人的姓名或其相关信息内容）复印件或扫描件并加盖投标人公章为准，合同主体须为供应商本企业。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设计人员配备</w:t>
            </w:r>
          </w:p>
        </w:tc>
        <w:tc>
          <w:tcPr>
            <w:tcW w:type="dxa" w:w="2492"/>
          </w:tcPr>
          <w:p>
            <w:pPr>
              <w:pStyle w:val="null3"/>
            </w:pPr>
            <w:r>
              <w:rPr>
                <w:rFonts w:ascii="仿宋_GB2312" w:hAnsi="仿宋_GB2312" w:cs="仿宋_GB2312" w:eastAsia="仿宋_GB2312"/>
              </w:rPr>
              <w:t>拟派设计团队专业设计人员配备齐全并提供相关证明材料(包括但不限于人员履历、相关资格证书、相关经验)，要求配备人员数量充足、岗位明确、管理构架合理，相关证明材料完整齐全得10分；基本完整得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提供实施过程中可能遇见的重难点，并提供解决方案。（5分） 1、能够提出本项目实施过程中可能遇见的重点、难点，并提供针对性的措施及解决方案计5分； 2、能够提出本项目实施过程中可能遇见的重点、难点，未提供针对性的措施及解决方案或措施及解决方案不合理计2分；未提供不计分。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提供投标人2022年7月1日至今类似设计项目业绩（以合同签订时间为准），每提供一份有效业绩计2分，最高计10分。若提供虚假业绩，一经发现，按无效文件处理。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