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版本号：CTSD2025-GC-030.1B120250729001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交通大厦室外改造工程项目(二次)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CTSD2025-GC-030.1B1</w:t>
      </w:r>
      <w:r>
        <w:br/>
      </w:r>
      <w:r>
        <w:br/>
      </w:r>
      <w:r>
        <w:br/>
      </w:r>
    </w:p>
    <w:p>
      <w:pPr>
        <w:pStyle w:val="null3"/>
        <w:jc w:val="center"/>
        <w:outlineLvl w:val="2"/>
      </w:pPr>
      <w:r>
        <w:rPr>
          <w:rFonts w:ascii="仿宋_GB2312" w:hAnsi="仿宋_GB2312" w:cs="仿宋_GB2312" w:eastAsia="仿宋_GB2312"/>
          <w:sz w:val="28"/>
          <w:b/>
        </w:rPr>
        <w:t>三原县交通运输局</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三原县交通运输局</w:t>
      </w:r>
      <w:r>
        <w:rPr>
          <w:rFonts w:ascii="仿宋_GB2312" w:hAnsi="仿宋_GB2312" w:cs="仿宋_GB2312" w:eastAsia="仿宋_GB2312"/>
        </w:rPr>
        <w:t>委托，拟对</w:t>
      </w:r>
      <w:r>
        <w:rPr>
          <w:rFonts w:ascii="仿宋_GB2312" w:hAnsi="仿宋_GB2312" w:cs="仿宋_GB2312" w:eastAsia="仿宋_GB2312"/>
        </w:rPr>
        <w:t>交通大厦室外改造工程项目(二次)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CTSD2025-GC-030.1B1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交通大厦室外改造工程项目(二次)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三原县交通运输局交通大厦室外改造工程项目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采购包1（三原县交通运输局交通大厦室外改造工程项目）：属于专门面向中小企业采购。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1、法人及委托授权：法定代表人直接参加投标的，须提供法定代表人身份证明；法定代表人授权代表参加投标的，须提供法定代表人授权委托书。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2、企业资质：具有建设行政主管部门颁发的建筑工程施工总承包三级及以上资质，且具备有效的安全生产许可证。</w:t>
      </w:r>
    </w:p>
    <w:p>
      <w:pPr>
        <w:pStyle w:val="null3"/>
      </w:pPr>
      <w:r>
        <w:rPr>
          <w:rFonts w:ascii="仿宋_GB2312" w:hAnsi="仿宋_GB2312" w:cs="仿宋_GB2312" w:eastAsia="仿宋_GB2312"/>
        </w:rPr>
        <w:t>3、拟派项目负责人资质和专业要求：拟派项目经理具备建筑工程专业二级或以上注册建造师证书和安全生产考核合格证（B证），在本单位注册且无在建项目（提供承诺书）。</w:t>
      </w:r>
    </w:p>
    <w:p>
      <w:pPr>
        <w:pStyle w:val="null3"/>
      </w:pPr>
      <w:r>
        <w:rPr>
          <w:rFonts w:ascii="仿宋_GB2312" w:hAnsi="仿宋_GB2312" w:cs="仿宋_GB2312" w:eastAsia="仿宋_GB2312"/>
        </w:rPr>
        <w:t>4、平台无不良记录：供应商基本信息及项目负责人的基本信息在“全国建筑市场监管公共服务平台”可查询且无不良记录。</w:t>
      </w:r>
    </w:p>
    <w:p>
      <w:pPr>
        <w:pStyle w:val="null3"/>
      </w:pPr>
      <w:r>
        <w:rPr>
          <w:rFonts w:ascii="仿宋_GB2312" w:hAnsi="仿宋_GB2312" w:cs="仿宋_GB2312" w:eastAsia="仿宋_GB2312"/>
        </w:rPr>
        <w:t>5、信用记录：供应商不得为“信用中国”网站（www.creditchina.gov.cn）严重失信主体和重大税收违法失信主体的供应商，不得为中国政府采购网（www.ccgp.gov.cn）政府采购严重违法失信行为记录名单中被财政部门禁止参加政府采购活动的的供应商。</w:t>
      </w:r>
    </w:p>
    <w:p>
      <w:pPr>
        <w:pStyle w:val="null3"/>
      </w:pPr>
      <w:r>
        <w:rPr>
          <w:rFonts w:ascii="仿宋_GB2312" w:hAnsi="仿宋_GB2312" w:cs="仿宋_GB2312" w:eastAsia="仿宋_GB2312"/>
        </w:rPr>
        <w:t>6、联合体：本项目不接受联合体投标。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三原县白鹿花园西汽标路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13389106890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陕西省西安市经济技术开发区凤城七路联益中心5楼501室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代理服务费收费标准：成交供应商应在领取通知书的同时，支付本项目代理服务费。 成交单位的代理服务费缴纳信息： 银行户名：城投时代（陕西）项目管理有限公司 开户银行：平安银行西安经济技术开发区支行 账号：15014069400074 联系电话：029-89160083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三原县交通运输局</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联系人：朱工</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地址：陕西省西安市经济技术开发区凤城七路联益中心5楼501室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958,000.00</w:t>
      </w:r>
    </w:p>
    <w:p>
      <w:pPr>
        <w:pStyle w:val="null3"/>
      </w:pPr>
      <w:r>
        <w:rPr>
          <w:rFonts w:ascii="仿宋_GB2312" w:hAnsi="仿宋_GB2312" w:cs="仿宋_GB2312" w:eastAsia="仿宋_GB2312"/>
        </w:rPr>
        <w:t>采购包最高限价（元）: 958,000.00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三原县交通运输局交通大厦室外改造工程项目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标的名称：三原县交通运输局交通大厦室外改造工程项目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15"/>
                <w:b/>
              </w:rPr>
              <w:t>三原县交通运输局交通大厦室外改造工程项目</w:t>
            </w:r>
          </w:p>
          <w:p>
            <w:pPr>
              <w:pStyle w:val="null3"/>
              <w:jc w:val="center"/>
            </w:pPr>
            <w:r>
              <w:rPr>
                <w:rFonts w:ascii="仿宋_GB2312" w:hAnsi="仿宋_GB2312" w:cs="仿宋_GB2312" w:eastAsia="仿宋_GB2312"/>
                <w:sz w:val="15"/>
                <w:b/>
              </w:rPr>
              <w:t>清单</w:t>
            </w:r>
            <w:r>
              <w:rPr>
                <w:rFonts w:ascii="仿宋_GB2312" w:hAnsi="仿宋_GB2312" w:cs="仿宋_GB2312" w:eastAsia="仿宋_GB2312"/>
                <w:sz w:val="15"/>
                <w:b/>
              </w:rPr>
              <w:t>编制说明</w:t>
            </w:r>
          </w:p>
          <w:p>
            <w:pPr>
              <w:pStyle w:val="null3"/>
              <w:numPr>
                <w:ilvl w:val="0"/>
                <w:numId w:val="1"/>
              </w:numPr>
              <w:jc w:val="both"/>
            </w:pPr>
            <w:r>
              <w:rPr>
                <w:rFonts w:ascii="仿宋_GB2312" w:hAnsi="仿宋_GB2312" w:cs="仿宋_GB2312" w:eastAsia="仿宋_GB2312"/>
                <w:sz w:val="15"/>
                <w:b/>
              </w:rPr>
              <w:t>工程概况</w:t>
            </w:r>
          </w:p>
          <w:p>
            <w:pPr>
              <w:pStyle w:val="null3"/>
              <w:ind w:firstLine="568"/>
              <w:jc w:val="left"/>
            </w:pPr>
            <w:r>
              <w:rPr>
                <w:rFonts w:ascii="仿宋_GB2312" w:hAnsi="仿宋_GB2312" w:cs="仿宋_GB2312" w:eastAsia="仿宋_GB2312"/>
                <w:sz w:val="15"/>
              </w:rPr>
              <w:t>本项目位于陕西省咸阳市三原县内。主要的工程内容为：</w:t>
            </w:r>
            <w:r>
              <w:rPr>
                <w:rFonts w:ascii="仿宋_GB2312" w:hAnsi="仿宋_GB2312" w:cs="仿宋_GB2312" w:eastAsia="仿宋_GB2312"/>
                <w:sz w:val="15"/>
              </w:rPr>
              <w:t>拆除工程、装饰装修</w:t>
            </w:r>
            <w:r>
              <w:rPr>
                <w:rFonts w:ascii="仿宋_GB2312" w:hAnsi="仿宋_GB2312" w:cs="仿宋_GB2312" w:eastAsia="仿宋_GB2312"/>
                <w:sz w:val="15"/>
              </w:rPr>
              <w:t>工程、给排水工程。</w:t>
            </w:r>
          </w:p>
          <w:p>
            <w:pPr>
              <w:pStyle w:val="null3"/>
              <w:numPr>
                <w:ilvl w:val="0"/>
                <w:numId w:val="1"/>
              </w:numPr>
              <w:jc w:val="both"/>
            </w:pPr>
            <w:r>
              <w:rPr>
                <w:rFonts w:ascii="仿宋_GB2312" w:hAnsi="仿宋_GB2312" w:cs="仿宋_GB2312" w:eastAsia="仿宋_GB2312"/>
                <w:sz w:val="15"/>
                <w:b/>
              </w:rPr>
              <w:t>编制依据</w:t>
            </w:r>
          </w:p>
          <w:p>
            <w:pPr>
              <w:pStyle w:val="null3"/>
              <w:ind w:firstLine="560"/>
              <w:jc w:val="both"/>
            </w:pPr>
            <w:r>
              <w:rPr>
                <w:rFonts w:ascii="仿宋_GB2312" w:hAnsi="仿宋_GB2312" w:cs="仿宋_GB2312" w:eastAsia="仿宋_GB2312"/>
                <w:sz w:val="15"/>
              </w:rPr>
              <w:t>1</w:t>
            </w:r>
            <w:r>
              <w:rPr>
                <w:rFonts w:ascii="仿宋_GB2312" w:hAnsi="仿宋_GB2312" w:cs="仿宋_GB2312" w:eastAsia="仿宋_GB2312"/>
                <w:sz w:val="15"/>
              </w:rPr>
              <w:t>、《建设工程工程量清单计价规范》（</w:t>
            </w:r>
            <w:r>
              <w:rPr>
                <w:rFonts w:ascii="仿宋_GB2312" w:hAnsi="仿宋_GB2312" w:cs="仿宋_GB2312" w:eastAsia="仿宋_GB2312"/>
                <w:sz w:val="15"/>
              </w:rPr>
              <w:t>GB50500-2008</w:t>
            </w:r>
            <w:r>
              <w:rPr>
                <w:rFonts w:ascii="仿宋_GB2312" w:hAnsi="仿宋_GB2312" w:cs="仿宋_GB2312" w:eastAsia="仿宋_GB2312"/>
                <w:sz w:val="15"/>
              </w:rPr>
              <w:t>）、《陕西省建设工程工程量清单计价规则》（</w:t>
            </w:r>
            <w:r>
              <w:rPr>
                <w:rFonts w:ascii="仿宋_GB2312" w:hAnsi="仿宋_GB2312" w:cs="仿宋_GB2312" w:eastAsia="仿宋_GB2312"/>
                <w:sz w:val="15"/>
              </w:rPr>
              <w:t>2009</w:t>
            </w:r>
            <w:r>
              <w:rPr>
                <w:rFonts w:ascii="仿宋_GB2312" w:hAnsi="仿宋_GB2312" w:cs="仿宋_GB2312" w:eastAsia="仿宋_GB2312"/>
                <w:sz w:val="15"/>
              </w:rPr>
              <w:t>）</w:t>
            </w:r>
            <w:r>
              <w:rPr>
                <w:rFonts w:ascii="仿宋_GB2312" w:hAnsi="仿宋_GB2312" w:cs="仿宋_GB2312" w:eastAsia="仿宋_GB2312"/>
                <w:sz w:val="15"/>
              </w:rPr>
              <w:t>;</w:t>
            </w:r>
          </w:p>
          <w:p>
            <w:pPr>
              <w:pStyle w:val="null3"/>
              <w:ind w:firstLine="560"/>
              <w:jc w:val="both"/>
            </w:pPr>
            <w:r>
              <w:rPr>
                <w:rFonts w:ascii="仿宋_GB2312" w:hAnsi="仿宋_GB2312" w:cs="仿宋_GB2312" w:eastAsia="仿宋_GB2312"/>
                <w:sz w:val="15"/>
              </w:rPr>
              <w:t>2</w:t>
            </w:r>
            <w:r>
              <w:rPr>
                <w:rFonts w:ascii="仿宋_GB2312" w:hAnsi="仿宋_GB2312" w:cs="仿宋_GB2312" w:eastAsia="仿宋_GB2312"/>
                <w:sz w:val="15"/>
              </w:rPr>
              <w:t>、《陕西省建筑、安装、市政、园林、绿化工程消耗量定额》（</w:t>
            </w:r>
            <w:r>
              <w:rPr>
                <w:rFonts w:ascii="仿宋_GB2312" w:hAnsi="仿宋_GB2312" w:cs="仿宋_GB2312" w:eastAsia="仿宋_GB2312"/>
                <w:sz w:val="15"/>
              </w:rPr>
              <w:t>2004</w:t>
            </w:r>
            <w:r>
              <w:rPr>
                <w:rFonts w:ascii="仿宋_GB2312" w:hAnsi="仿宋_GB2312" w:cs="仿宋_GB2312" w:eastAsia="仿宋_GB2312"/>
                <w:sz w:val="15"/>
              </w:rPr>
              <w:t>）、《陕西省建设工程消耗量定额（</w:t>
            </w:r>
            <w:r>
              <w:rPr>
                <w:rFonts w:ascii="仿宋_GB2312" w:hAnsi="仿宋_GB2312" w:cs="仿宋_GB2312" w:eastAsia="仿宋_GB2312"/>
                <w:sz w:val="15"/>
              </w:rPr>
              <w:t>2009</w:t>
            </w:r>
            <w:r>
              <w:rPr>
                <w:rFonts w:ascii="仿宋_GB2312" w:hAnsi="仿宋_GB2312" w:cs="仿宋_GB2312" w:eastAsia="仿宋_GB2312"/>
                <w:sz w:val="15"/>
              </w:rPr>
              <w:t>）补充定额）》及其他相关文件</w:t>
            </w:r>
            <w:r>
              <w:rPr>
                <w:rFonts w:ascii="仿宋_GB2312" w:hAnsi="仿宋_GB2312" w:cs="仿宋_GB2312" w:eastAsia="仿宋_GB2312"/>
                <w:sz w:val="15"/>
              </w:rPr>
              <w:t>;</w:t>
            </w:r>
          </w:p>
          <w:p>
            <w:pPr>
              <w:pStyle w:val="null3"/>
              <w:ind w:firstLine="560"/>
              <w:jc w:val="both"/>
            </w:pPr>
            <w:r>
              <w:rPr>
                <w:rFonts w:ascii="仿宋_GB2312" w:hAnsi="仿宋_GB2312" w:cs="仿宋_GB2312" w:eastAsia="仿宋_GB2312"/>
                <w:sz w:val="15"/>
              </w:rPr>
              <w:t>3</w:t>
            </w:r>
            <w:r>
              <w:rPr>
                <w:rFonts w:ascii="仿宋_GB2312" w:hAnsi="仿宋_GB2312" w:cs="仿宋_GB2312" w:eastAsia="仿宋_GB2312"/>
                <w:sz w:val="15"/>
              </w:rPr>
              <w:t>、《陕西省建筑装饰工程价目表》（</w:t>
            </w:r>
            <w:r>
              <w:rPr>
                <w:rFonts w:ascii="仿宋_GB2312" w:hAnsi="仿宋_GB2312" w:cs="仿宋_GB2312" w:eastAsia="仿宋_GB2312"/>
                <w:sz w:val="15"/>
              </w:rPr>
              <w:t>2009</w:t>
            </w:r>
            <w:r>
              <w:rPr>
                <w:rFonts w:ascii="仿宋_GB2312" w:hAnsi="仿宋_GB2312" w:cs="仿宋_GB2312" w:eastAsia="仿宋_GB2312"/>
                <w:sz w:val="15"/>
              </w:rPr>
              <w:t>）、《陕西省安装工程价目表》（</w:t>
            </w:r>
            <w:r>
              <w:rPr>
                <w:rFonts w:ascii="仿宋_GB2312" w:hAnsi="仿宋_GB2312" w:cs="仿宋_GB2312" w:eastAsia="仿宋_GB2312"/>
                <w:sz w:val="15"/>
              </w:rPr>
              <w:t>2009</w:t>
            </w:r>
            <w:r>
              <w:rPr>
                <w:rFonts w:ascii="仿宋_GB2312" w:hAnsi="仿宋_GB2312" w:cs="仿宋_GB2312" w:eastAsia="仿宋_GB2312"/>
                <w:sz w:val="15"/>
              </w:rPr>
              <w:t>）、《陕西省市政工程价目表》（</w:t>
            </w:r>
            <w:r>
              <w:rPr>
                <w:rFonts w:ascii="仿宋_GB2312" w:hAnsi="仿宋_GB2312" w:cs="仿宋_GB2312" w:eastAsia="仿宋_GB2312"/>
                <w:sz w:val="15"/>
              </w:rPr>
              <w:t>2009</w:t>
            </w:r>
            <w:r>
              <w:rPr>
                <w:rFonts w:ascii="仿宋_GB2312" w:hAnsi="仿宋_GB2312" w:cs="仿宋_GB2312" w:eastAsia="仿宋_GB2312"/>
                <w:sz w:val="15"/>
              </w:rPr>
              <w:t>）、《陕西省建设工程施工机械台班价目表》（</w:t>
            </w:r>
            <w:r>
              <w:rPr>
                <w:rFonts w:ascii="仿宋_GB2312" w:hAnsi="仿宋_GB2312" w:cs="仿宋_GB2312" w:eastAsia="仿宋_GB2312"/>
                <w:sz w:val="15"/>
              </w:rPr>
              <w:t>2009</w:t>
            </w:r>
            <w:r>
              <w:rPr>
                <w:rFonts w:ascii="仿宋_GB2312" w:hAnsi="仿宋_GB2312" w:cs="仿宋_GB2312" w:eastAsia="仿宋_GB2312"/>
                <w:sz w:val="15"/>
              </w:rPr>
              <w:t>）、《陕西省建设工程消耗量定额勘误及补充定额》（</w:t>
            </w:r>
            <w:r>
              <w:rPr>
                <w:rFonts w:ascii="仿宋_GB2312" w:hAnsi="仿宋_GB2312" w:cs="仿宋_GB2312" w:eastAsia="仿宋_GB2312"/>
                <w:sz w:val="15"/>
              </w:rPr>
              <w:t>2009</w:t>
            </w:r>
            <w:r>
              <w:rPr>
                <w:rFonts w:ascii="仿宋_GB2312" w:hAnsi="仿宋_GB2312" w:cs="仿宋_GB2312" w:eastAsia="仿宋_GB2312"/>
                <w:sz w:val="15"/>
              </w:rPr>
              <w:t>）、《陕西省建设工程工程量清单计价费率》（</w:t>
            </w:r>
            <w:r>
              <w:rPr>
                <w:rFonts w:ascii="仿宋_GB2312" w:hAnsi="仿宋_GB2312" w:cs="仿宋_GB2312" w:eastAsia="仿宋_GB2312"/>
                <w:sz w:val="15"/>
              </w:rPr>
              <w:t>2009</w:t>
            </w:r>
            <w:r>
              <w:rPr>
                <w:rFonts w:ascii="仿宋_GB2312" w:hAnsi="仿宋_GB2312" w:cs="仿宋_GB2312" w:eastAsia="仿宋_GB2312"/>
                <w:sz w:val="15"/>
              </w:rPr>
              <w:t>）及其他相关文件</w:t>
            </w:r>
            <w:r>
              <w:rPr>
                <w:rFonts w:ascii="仿宋_GB2312" w:hAnsi="仿宋_GB2312" w:cs="仿宋_GB2312" w:eastAsia="仿宋_GB2312"/>
                <w:sz w:val="15"/>
              </w:rPr>
              <w:t>;</w:t>
            </w:r>
          </w:p>
          <w:p>
            <w:pPr>
              <w:pStyle w:val="null3"/>
              <w:ind w:firstLine="568"/>
              <w:jc w:val="left"/>
            </w:pPr>
            <w:r>
              <w:rPr>
                <w:rFonts w:ascii="仿宋_GB2312" w:hAnsi="仿宋_GB2312" w:cs="仿宋_GB2312" w:eastAsia="仿宋_GB2312"/>
                <w:sz w:val="15"/>
              </w:rPr>
              <w:t>4</w:t>
            </w:r>
            <w:r>
              <w:rPr>
                <w:rFonts w:ascii="仿宋_GB2312" w:hAnsi="仿宋_GB2312" w:cs="仿宋_GB2312" w:eastAsia="仿宋_GB2312"/>
                <w:sz w:val="15"/>
              </w:rPr>
              <w:t>、施工现场情况、工程特点及常规施工方案；相关国家和陕西省建筑施工规范要求等</w:t>
            </w:r>
            <w:r>
              <w:rPr>
                <w:rFonts w:ascii="仿宋_GB2312" w:hAnsi="仿宋_GB2312" w:cs="仿宋_GB2312" w:eastAsia="仿宋_GB2312"/>
                <w:sz w:val="15"/>
              </w:rPr>
              <w:t>;</w:t>
            </w:r>
          </w:p>
          <w:p>
            <w:pPr>
              <w:pStyle w:val="null3"/>
              <w:ind w:firstLine="568"/>
              <w:jc w:val="left"/>
            </w:pPr>
            <w:r>
              <w:rPr>
                <w:rFonts w:ascii="仿宋_GB2312" w:hAnsi="仿宋_GB2312" w:cs="仿宋_GB2312" w:eastAsia="仿宋_GB2312"/>
                <w:sz w:val="15"/>
              </w:rPr>
              <w:t>5</w:t>
            </w:r>
            <w:r>
              <w:rPr>
                <w:rFonts w:ascii="仿宋_GB2312" w:hAnsi="仿宋_GB2312" w:cs="仿宋_GB2312" w:eastAsia="仿宋_GB2312"/>
                <w:sz w:val="15"/>
              </w:rPr>
              <w:t>、其他相关资料。</w:t>
            </w:r>
          </w:p>
          <w:p>
            <w:pPr>
              <w:pStyle w:val="null3"/>
              <w:numPr>
                <w:ilvl w:val="0"/>
                <w:numId w:val="1"/>
              </w:numPr>
              <w:jc w:val="both"/>
            </w:pPr>
            <w:r>
              <w:rPr>
                <w:rFonts w:ascii="仿宋_GB2312" w:hAnsi="仿宋_GB2312" w:cs="仿宋_GB2312" w:eastAsia="仿宋_GB2312"/>
                <w:sz w:val="15"/>
                <w:b/>
              </w:rPr>
              <w:t>其他说明</w:t>
            </w:r>
          </w:p>
          <w:p>
            <w:pPr>
              <w:pStyle w:val="null3"/>
              <w:ind w:firstLine="568"/>
              <w:jc w:val="left"/>
            </w:pPr>
            <w:r>
              <w:rPr>
                <w:rFonts w:ascii="仿宋_GB2312" w:hAnsi="仿宋_GB2312" w:cs="仿宋_GB2312" w:eastAsia="仿宋_GB2312"/>
                <w:sz w:val="15"/>
              </w:rPr>
              <w:t>1</w:t>
            </w:r>
            <w:r>
              <w:rPr>
                <w:rFonts w:ascii="仿宋_GB2312" w:hAnsi="仿宋_GB2312" w:cs="仿宋_GB2312" w:eastAsia="仿宋_GB2312"/>
                <w:sz w:val="15"/>
              </w:rPr>
              <w:t>、本工程量清单项目特征描述的仅是主要部分的内容，计价时需结合设计方案、施工规范等相关要求计价；</w:t>
            </w:r>
          </w:p>
          <w:p>
            <w:pPr>
              <w:pStyle w:val="null3"/>
              <w:ind w:firstLine="568"/>
              <w:jc w:val="left"/>
            </w:pPr>
            <w:r>
              <w:rPr>
                <w:rFonts w:ascii="仿宋_GB2312" w:hAnsi="仿宋_GB2312" w:cs="仿宋_GB2312" w:eastAsia="仿宋_GB2312"/>
                <w:sz w:val="15"/>
              </w:rPr>
              <w:t>2</w:t>
            </w:r>
            <w:r>
              <w:rPr>
                <w:rFonts w:ascii="仿宋_GB2312" w:hAnsi="仿宋_GB2312" w:cs="仿宋_GB2312" w:eastAsia="仿宋_GB2312"/>
                <w:sz w:val="15"/>
              </w:rPr>
              <w:t>、其它详细说明及要求详见本工程量清单；</w:t>
            </w:r>
          </w:p>
          <w:p>
            <w:pPr>
              <w:pStyle w:val="null3"/>
              <w:ind w:firstLine="568"/>
              <w:jc w:val="left"/>
            </w:pPr>
            <w:r>
              <w:rPr>
                <w:rFonts w:ascii="仿宋_GB2312" w:hAnsi="仿宋_GB2312" w:cs="仿宋_GB2312" w:eastAsia="仿宋_GB2312"/>
                <w:sz w:val="15"/>
              </w:rPr>
              <w:t>3</w:t>
            </w:r>
            <w:r>
              <w:rPr>
                <w:rFonts w:ascii="仿宋_GB2312" w:hAnsi="仿宋_GB2312" w:cs="仿宋_GB2312" w:eastAsia="仿宋_GB2312"/>
                <w:sz w:val="15"/>
              </w:rPr>
              <w:t>、本工程量清单采用广联达计价软件</w:t>
            </w:r>
            <w:r>
              <w:rPr>
                <w:rFonts w:ascii="仿宋_GB2312" w:hAnsi="仿宋_GB2312" w:cs="仿宋_GB2312" w:eastAsia="仿宋_GB2312"/>
                <w:sz w:val="15"/>
              </w:rPr>
              <w:t>GCCP6.0</w:t>
            </w:r>
            <w:r>
              <w:rPr>
                <w:rFonts w:ascii="仿宋_GB2312" w:hAnsi="仿宋_GB2312" w:cs="仿宋_GB2312" w:eastAsia="仿宋_GB2312"/>
                <w:sz w:val="15"/>
              </w:rPr>
              <w:t>（</w:t>
            </w:r>
            <w:r>
              <w:rPr>
                <w:rFonts w:ascii="仿宋_GB2312" w:hAnsi="仿宋_GB2312" w:cs="仿宋_GB2312" w:eastAsia="仿宋_GB2312"/>
                <w:sz w:val="15"/>
              </w:rPr>
              <w:t>6.4</w:t>
            </w:r>
            <w:r>
              <w:rPr>
                <w:rFonts w:ascii="仿宋_GB2312" w:hAnsi="仿宋_GB2312" w:cs="仿宋_GB2312" w:eastAsia="仿宋_GB2312"/>
                <w:sz w:val="15"/>
              </w:rPr>
              <w:t>1</w:t>
            </w:r>
            <w:r>
              <w:rPr>
                <w:rFonts w:ascii="仿宋_GB2312" w:hAnsi="仿宋_GB2312" w:cs="仿宋_GB2312" w:eastAsia="仿宋_GB2312"/>
                <w:sz w:val="15"/>
              </w:rPr>
              <w:t>00.23.1</w:t>
            </w:r>
            <w:r>
              <w:rPr>
                <w:rFonts w:ascii="仿宋_GB2312" w:hAnsi="仿宋_GB2312" w:cs="仿宋_GB2312" w:eastAsia="仿宋_GB2312"/>
                <w:sz w:val="15"/>
              </w:rPr>
              <w:t>22</w:t>
            </w:r>
            <w:r>
              <w:rPr>
                <w:rFonts w:ascii="仿宋_GB2312" w:hAnsi="仿宋_GB2312" w:cs="仿宋_GB2312" w:eastAsia="仿宋_GB2312"/>
                <w:sz w:val="15"/>
              </w:rPr>
              <w:t>）版本编制；</w:t>
            </w:r>
          </w:p>
          <w:p>
            <w:pPr>
              <w:pStyle w:val="null3"/>
              <w:ind w:firstLine="568"/>
              <w:jc w:val="left"/>
            </w:pPr>
            <w:r>
              <w:rPr>
                <w:rFonts w:ascii="仿宋_GB2312" w:hAnsi="仿宋_GB2312" w:cs="仿宋_GB2312" w:eastAsia="仿宋_GB2312"/>
                <w:sz w:val="15"/>
              </w:rPr>
              <w:t>4、工程量清单详见附件。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符合国家现行有关建设工程质量验收规范“合格”要求。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为独立承担民事责任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 2.提供磋商截止时间前6个月内至少一个月的依法缴纳税收的相关凭据（时间以税款所属日期为准)，依法免税或无须缴纳税收的供应商应提供相关证明材料；提供磋商截止时间前6个月内至少一个月的社保缴纳凭据或社保机构开具的社会保险参保缴纳情况证明，依法不需要缴纳社会保障金的供应商需具有社保部门 出具的证明文件。 3.参加本次政府采购活动前3年内在经营活动中没有重大违法记录，以及未被列入严重失信主体、重大税收违法失信主体、政府采购严重违法失信行为记录名单的书面声明。 4.磋商单位具有履行合同所需的设备和专业技术能力。 5.磋商单位具备法律、行政法规规定的其他条（提供承诺函）。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1、提供2023或2024年度经审计的财务报告（包含审计报告和审计报告中所涉及的财务报表和报表附注）或提供截至资格申请文件提交截止日3个月内银行出具的资信证明及开户许可证（基本存款账户信息），2、供应商注册时间截至资格申请文件提交截止日不足一年的，也可提供在工商管理部门备案的公司章程及财务管理制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提供声明函。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法人及委托授权</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具有建设行政主管部门颁发的建筑工程施工总承包三级及以上资质，且具备有效的安全生产许可证。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拟派项目经理具备建筑工程专业二级或以上注册建造师证书和安全生产考核合格证（B证），在本单位注册且无在建项目（提供承诺书）。</w:t>
            </w:r>
          </w:p>
        </w:tc>
        <w:tc>
          <w:tcPr>
            <w:tcW w:type="dxa" w:w="1661"/>
          </w:tcPr>
          <w:p>
            <w:pPr>
              <w:pStyle w:val="null3"/>
            </w:pPr>
            <w:r>
              <w:rPr>
                <w:rFonts w:ascii="仿宋_GB2312" w:hAnsi="仿宋_GB2312" w:cs="仿宋_GB2312" w:eastAsia="仿宋_GB2312"/>
              </w:rPr>
              <w:t>供应商应提交的相关资格证明材料.docx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平台无不良记录</w:t>
            </w:r>
          </w:p>
        </w:tc>
        <w:tc>
          <w:tcPr>
            <w:tcW w:type="dxa" w:w="3322"/>
          </w:tcPr>
          <w:p>
            <w:pPr>
              <w:pStyle w:val="null3"/>
            </w:pPr>
            <w:r>
              <w:rPr>
                <w:rFonts w:ascii="仿宋_GB2312" w:hAnsi="仿宋_GB2312" w:cs="仿宋_GB2312" w:eastAsia="仿宋_GB2312"/>
              </w:rPr>
              <w:t>供应商基本信息及项目负责人的基本信息在“全国建筑市场监管公共服务平台”可查询且无不良记录。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严重失信主体和重大税收违法失信主体的供应商，不得为中国政府采购网（www.ccgp.gov.cn）政府采购严重违法失信行为记录名单中被财政部门禁止参加政府采购活动的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按照磋商文件规定要求签署、盖章的。法定代 表人或法定代表人授权书。</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中小企业声明函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满足本磋商文件中标注的实质性条款（工期、质保期、服务地点、支付方式、支付约定等）要求的。</w:t>
            </w:r>
          </w:p>
        </w:tc>
        <w:tc>
          <w:tcPr>
            <w:tcW w:type="dxa" w:w="1661"/>
          </w:tcPr>
          <w:p>
            <w:pPr>
              <w:pStyle w:val="null3"/>
            </w:pPr>
            <w:r>
              <w:rPr>
                <w:rFonts w:ascii="仿宋_GB2312" w:hAnsi="仿宋_GB2312" w:cs="仿宋_GB2312" w:eastAsia="仿宋_GB2312"/>
              </w:rPr>
              <w:t>技术方案.docx 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技术方案.docx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技术方案.docx 已标价工程量清单 供应商应提交的相关资格证明材料.docx 中小企业声明函 残疾人福利性单位声明函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投标人提供的施工方案进行打分，包含但不限于:施工技术措施、组织结构、保障措施、应急预案等，上述内容有针对性的措施且内容完整的得12分，每缺1项内容扣3分，每有1处不合理或有瑕疵扣1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投标人提供的施工重点难点分析进行打分，包含但不限于施工组织设计内容、施工组织设计重点部位、重点结构施工方案、对重点施工工艺、对重点施工环节等，上述内容有针对性的措施且内容完整的得10分，每缺1项内容扣2分，每有1处不合理或有瑕扣1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提供的确保工程质量的技术组织措施进行打分，措施包含但不限于质量管理措施、规章制度、岗位职责、质量管理目标等。措施科学合理且内容完整的得8分，每缺1项内容扣2分，每有1处不合理或有瑕扣1分。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安全施工保障措施</w:t>
            </w:r>
          </w:p>
        </w:tc>
        <w:tc>
          <w:tcPr>
            <w:tcW w:type="dxa" w:w="2492"/>
          </w:tcPr>
          <w:p>
            <w:pPr>
              <w:pStyle w:val="null3"/>
            </w:pPr>
            <w:r>
              <w:rPr>
                <w:rFonts w:ascii="仿宋_GB2312" w:hAnsi="仿宋_GB2312" w:cs="仿宋_GB2312" w:eastAsia="仿宋_GB2312"/>
              </w:rPr>
              <w:t>根根据投标人提供的确保安全生产的技术组织措施进行打分，措施包含但不限于安全管理规定、安全管理体系、安全教育、安全培训计划等。 措施科学合理且内容完整的得4分，每缺1项内容扣1分每有1处不台理或有瑕扣0.5分。未提供的不得分。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文明施工保障措施</w:t>
            </w:r>
          </w:p>
        </w:tc>
        <w:tc>
          <w:tcPr>
            <w:tcW w:type="dxa" w:w="2492"/>
          </w:tcPr>
          <w:p>
            <w:pPr>
              <w:pStyle w:val="null3"/>
            </w:pPr>
            <w:r>
              <w:rPr>
                <w:rFonts w:ascii="仿宋_GB2312" w:hAnsi="仿宋_GB2312" w:cs="仿宋_GB2312" w:eastAsia="仿宋_GB2312"/>
              </w:rPr>
              <w:t>根据投标人提供的确保文明施工的技术组织措施进行打分，措施包含但不限于文明施工计划、关键环节控制措施等。 措施科学合理且内容完整的得4分，每缺1项内容扣2分，每有1处不合理或有瑕扣 1 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根据投标人提供的确保工期的技术组织措施进行打分，措施包含但不限于总进度计划、分阶段进度计划、规章制度、奖惩措施、工序安排等。措施科学合理且内容完整的得5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拟投入的主要施工机械计划</w:t>
            </w:r>
          </w:p>
        </w:tc>
        <w:tc>
          <w:tcPr>
            <w:tcW w:type="dxa" w:w="2492"/>
          </w:tcPr>
          <w:p>
            <w:pPr>
              <w:pStyle w:val="null3"/>
            </w:pPr>
            <w:r>
              <w:rPr>
                <w:rFonts w:ascii="仿宋_GB2312" w:hAnsi="仿宋_GB2312" w:cs="仿宋_GB2312" w:eastAsia="仿宋_GB2312"/>
              </w:rPr>
              <w:t>根根据投标人提供的拟投入的主要施工机械计划进行打分，计划包含但不限于施工机械配备计划、机械清单等。 计划科学合理且内容完整的得4分，每缺1项内容扣2分，每有1处不合理或有瑕扣1分。未提供的不得分。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进行打分，包括但不限于质保服务方案及承诺、与相关部门的配合协调承诺、优化建议等进行赋分，方案科学合理、满足项目要求，合理性、针对性强、服务承诺明确，计3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依据施工单位的保修期限、施工保修、质量标准保修承诺：以上3项承诺完整且科学可行的得6分，每缺1项内容扣2分，每有1处不合理或有瑕扣1分。未提供的不得分。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1、拟派项目经理具备高级及以上职称证书，得2分，中级职称证书得1分，其余情况不得分。 2、拟派技术负责人具备高级及以上职称证书，得2分，中级职称证书得1分，其余情况不得分。 提供人员相关证书证明资料复印件加盖供应商公章。未提供不得分。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供应商提供2022年7月1日（以合同签订日期为准）至今承担过的类似项目的业绩合同，每提供一份计2分，满分10分。 备注：提供合同（包括合同服务内容、合同金额、合同签订日期），否则不计分。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价格分统一采用低价优先法计算，即满足磋商文件要求且磋商价格最低的磋商报价为投标基准价，其价格分为满分。其他供应商的价格分统一按照下列公式计算： 磋商报价得分=(投标基准价／投标报价)×价格权值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