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7E58BE">
      <w:pPr>
        <w:spacing w:after="0" w:line="360" w:lineRule="auto"/>
        <w:ind w:firstLine="480"/>
        <w:jc w:val="center"/>
        <w:rPr>
          <w:rFonts w:hint="eastAsia" w:ascii="仿宋" w:hAnsi="仿宋" w:cs="宋体"/>
          <w:b/>
          <w:bCs/>
          <w:color w:val="auto"/>
          <w:sz w:val="36"/>
          <w:szCs w:val="36"/>
          <w:highlight w:val="none"/>
          <w:lang w:val="en-US" w:eastAsia="zh-CN"/>
        </w:rPr>
      </w:pPr>
      <w:r>
        <w:rPr>
          <w:rFonts w:hint="eastAsia" w:ascii="仿宋" w:hAnsi="仿宋" w:cs="宋体"/>
          <w:b/>
          <w:bCs/>
          <w:color w:val="auto"/>
          <w:sz w:val="36"/>
          <w:szCs w:val="36"/>
          <w:highlight w:val="none"/>
          <w:lang w:val="en-US" w:eastAsia="zh-CN"/>
        </w:rPr>
        <w:t>合  同</w:t>
      </w:r>
    </w:p>
    <w:p w14:paraId="235D4BBA">
      <w:pPr>
        <w:pStyle w:val="2"/>
        <w:jc w:val="center"/>
        <w:rPr>
          <w:rFonts w:hint="eastAsia"/>
          <w:lang w:val="en-US" w:eastAsia="zh-CN"/>
        </w:rPr>
      </w:pPr>
      <w:r>
        <w:rPr>
          <w:rFonts w:hint="eastAsia" w:ascii="仿宋" w:hAnsi="仿宋" w:cs="宋体"/>
          <w:color w:val="auto"/>
          <w:sz w:val="24"/>
          <w:szCs w:val="24"/>
          <w:highlight w:val="none"/>
          <w:lang w:val="en-US" w:eastAsia="zh-CN"/>
        </w:rPr>
        <w:t>（此合同仅供参考，具体以采购人签订合同为准）</w:t>
      </w:r>
    </w:p>
    <w:p w14:paraId="0EEB26CF">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甲方（采购人）：</w:t>
      </w:r>
    </w:p>
    <w:p w14:paraId="627E72CE">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乙方（供应商）：</w:t>
      </w:r>
    </w:p>
    <w:p w14:paraId="79840BE1">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根据《中华人民共和国政府采购法》、《中华人民共和国民法典》等相关法律，甲、乙双方就</w:t>
      </w:r>
      <w:r>
        <w:rPr>
          <w:rFonts w:ascii="仿宋" w:hAnsi="仿宋" w:eastAsia="仿宋" w:cs="宋体"/>
          <w:color w:val="auto"/>
          <w:sz w:val="24"/>
          <w:szCs w:val="24"/>
          <w:highlight w:val="none"/>
        </w:rPr>
        <w:t>(</w:t>
      </w:r>
      <w:r>
        <w:rPr>
          <w:rFonts w:hint="eastAsia" w:ascii="仿宋" w:hAnsi="仿宋" w:eastAsia="仿宋" w:cs="宋体"/>
          <w:color w:val="auto"/>
          <w:sz w:val="24"/>
          <w:szCs w:val="24"/>
          <w:highlight w:val="none"/>
        </w:rPr>
        <w:t>项目名称、项目编号），经平等协商达成合同如下：</w:t>
      </w:r>
    </w:p>
    <w:p w14:paraId="73068109">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一、合同文件</w:t>
      </w:r>
    </w:p>
    <w:p w14:paraId="74503D89">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本合同所附下列文件是构成本合同不可分割的部分，组成合同的各项文件应互相解释，互为说明，解释合同文件的优先顺序如下：</w:t>
      </w:r>
    </w:p>
    <w:p w14:paraId="0C56BE68">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（一）合同格式以及合同条款</w:t>
      </w:r>
    </w:p>
    <w:p w14:paraId="01318D1E">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（二）成交通知书</w:t>
      </w:r>
    </w:p>
    <w:p w14:paraId="306602AB">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（三）成交供应商在评标过程中做出的有关澄清、说明、承诺或者补正文件</w:t>
      </w:r>
    </w:p>
    <w:p w14:paraId="6086EA14">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（四）成交供应商响应文件</w:t>
      </w:r>
    </w:p>
    <w:p w14:paraId="7580EC53">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（五）</w:t>
      </w:r>
      <w:r>
        <w:rPr>
          <w:rFonts w:hint="eastAsia" w:ascii="仿宋" w:hAnsi="仿宋" w:cs="宋体"/>
          <w:color w:val="auto"/>
          <w:sz w:val="24"/>
          <w:szCs w:val="24"/>
          <w:highlight w:val="none"/>
          <w:lang w:val="en-US" w:eastAsia="zh-CN"/>
        </w:rPr>
        <w:t>招标</w:t>
      </w:r>
      <w:r>
        <w:rPr>
          <w:rFonts w:hint="eastAsia" w:ascii="仿宋" w:hAnsi="仿宋" w:eastAsia="仿宋" w:cs="宋体"/>
          <w:color w:val="auto"/>
          <w:sz w:val="24"/>
          <w:szCs w:val="24"/>
          <w:highlight w:val="none"/>
        </w:rPr>
        <w:t>文件</w:t>
      </w:r>
    </w:p>
    <w:p w14:paraId="49FFEF85">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（六）本合同附件</w:t>
      </w:r>
    </w:p>
    <w:p w14:paraId="0CA03BB4">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同一层次的合同文件规定有矛盾的以较后时间制定的为准。</w:t>
      </w:r>
    </w:p>
    <w:p w14:paraId="771C3194">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二、合同的范围和条件</w:t>
      </w:r>
    </w:p>
    <w:p w14:paraId="2E361C88">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本合同的范围和条件应与上述合同文件的规定相一致。</w:t>
      </w:r>
    </w:p>
    <w:p w14:paraId="39DC4D45">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三、服务项目</w:t>
      </w:r>
      <w:r>
        <w:rPr>
          <w:rFonts w:hint="eastAsia" w:ascii="仿宋" w:hAnsi="仿宋" w:cs="宋体"/>
          <w:color w:val="auto"/>
          <w:sz w:val="24"/>
          <w:szCs w:val="24"/>
          <w:highlight w:val="none"/>
          <w:lang w:val="en-US" w:eastAsia="zh-CN"/>
        </w:rPr>
        <w:t>投标</w:t>
      </w:r>
      <w:r>
        <w:rPr>
          <w:rFonts w:hint="eastAsia" w:ascii="仿宋" w:hAnsi="仿宋" w:eastAsia="仿宋" w:cs="宋体"/>
          <w:color w:val="auto"/>
          <w:sz w:val="24"/>
          <w:szCs w:val="24"/>
          <w:highlight w:val="none"/>
        </w:rPr>
        <w:t>文件中投标服务明细表一致。</w:t>
      </w:r>
    </w:p>
    <w:p w14:paraId="6CE508BB">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四、合同金额</w:t>
      </w:r>
    </w:p>
    <w:p w14:paraId="736D7A7F">
      <w:pPr>
        <w:spacing w:after="0" w:line="360" w:lineRule="auto"/>
        <w:ind w:firstLine="480"/>
        <w:rPr>
          <w:rFonts w:hint="eastAsia" w:ascii="仿宋" w:hAnsi="仿宋" w:eastAsia="仿宋" w:cs="宋体"/>
          <w:color w:val="auto"/>
          <w:sz w:val="24"/>
          <w:szCs w:val="24"/>
          <w:highlight w:val="none"/>
          <w:lang w:eastAsia="zh-CN"/>
        </w:rPr>
      </w:pPr>
      <w:r>
        <w:rPr>
          <w:rFonts w:hint="eastAsia" w:ascii="仿宋" w:hAnsi="仿宋" w:eastAsia="仿宋" w:cs="宋体"/>
          <w:color w:val="auto"/>
          <w:sz w:val="24"/>
          <w:szCs w:val="24"/>
          <w:highlight w:val="none"/>
        </w:rPr>
        <w:t>合同金额为人民币</w:t>
      </w:r>
      <w:r>
        <w:rPr>
          <w:rFonts w:hint="eastAsia" w:ascii="仿宋" w:hAnsi="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rPr>
        <w:t>万元，大写：</w:t>
      </w:r>
      <w:r>
        <w:rPr>
          <w:rFonts w:hint="eastAsia" w:ascii="仿宋" w:hAnsi="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rPr>
        <w:t>。</w:t>
      </w:r>
      <w:r>
        <w:rPr>
          <w:rFonts w:hint="eastAsia" w:ascii="仿宋" w:hAnsi="仿宋" w:eastAsia="仿宋" w:cs="宋体"/>
          <w:color w:val="auto"/>
          <w:sz w:val="24"/>
          <w:szCs w:val="24"/>
          <w:highlight w:val="none"/>
          <w:lang w:eastAsia="zh-CN"/>
        </w:rPr>
        <w:t>（</w:t>
      </w:r>
      <w:r>
        <w:rPr>
          <w:rFonts w:hint="eastAsia" w:ascii="仿宋" w:hAnsi="仿宋" w:eastAsia="仿宋" w:cs="宋体"/>
          <w:color w:val="auto"/>
          <w:sz w:val="24"/>
          <w:szCs w:val="24"/>
          <w:highlight w:val="none"/>
          <w:lang w:val="en-US" w:eastAsia="zh-CN"/>
        </w:rPr>
        <w:t>含税</w:t>
      </w:r>
      <w:r>
        <w:rPr>
          <w:rFonts w:hint="eastAsia" w:ascii="仿宋" w:hAnsi="仿宋" w:eastAsia="仿宋" w:cs="宋体"/>
          <w:color w:val="auto"/>
          <w:sz w:val="24"/>
          <w:szCs w:val="24"/>
          <w:highlight w:val="none"/>
          <w:lang w:eastAsia="zh-CN"/>
        </w:rPr>
        <w:t>）</w:t>
      </w:r>
    </w:p>
    <w:p w14:paraId="1C9FC70E">
      <w:pPr>
        <w:spacing w:after="0" w:line="360" w:lineRule="auto"/>
        <w:ind w:firstLine="480"/>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五、付款方式</w:t>
      </w:r>
    </w:p>
    <w:p w14:paraId="34B7C846">
      <w:pPr>
        <w:spacing w:after="0" w:line="360" w:lineRule="auto"/>
        <w:ind w:firstLine="480"/>
        <w:rPr>
          <w:rFonts w:hint="default" w:ascii="仿宋" w:hAnsi="仿宋" w:eastAsia="仿宋" w:cs="宋体"/>
          <w:color w:val="auto"/>
          <w:sz w:val="24"/>
          <w:szCs w:val="24"/>
          <w:highlight w:val="none"/>
          <w:u w:val="single"/>
          <w:lang w:val="en-US" w:eastAsia="zh-CN"/>
        </w:rPr>
      </w:pPr>
      <w:r>
        <w:rPr>
          <w:rFonts w:hint="eastAsia" w:ascii="仿宋" w:hAnsi="仿宋" w:eastAsia="仿宋" w:cs="宋体"/>
          <w:color w:val="auto"/>
          <w:sz w:val="24"/>
          <w:szCs w:val="24"/>
          <w:highlight w:val="none"/>
        </w:rPr>
        <w:t>□分期支付方式</w:t>
      </w:r>
      <w:r>
        <w:rPr>
          <w:rFonts w:hint="eastAsia" w:ascii="仿宋" w:hAnsi="仿宋" w:cs="宋体"/>
          <w:color w:val="auto"/>
          <w:sz w:val="24"/>
          <w:szCs w:val="24"/>
          <w:highlight w:val="none"/>
          <w:lang w:eastAsia="zh-CN"/>
        </w:rPr>
        <w:t>：</w:t>
      </w:r>
      <w:r>
        <w:rPr>
          <w:rFonts w:hint="eastAsia" w:ascii="仿宋" w:hAnsi="仿宋" w:cs="宋体"/>
          <w:color w:val="auto"/>
          <w:sz w:val="24"/>
          <w:szCs w:val="24"/>
          <w:highlight w:val="none"/>
          <w:u w:val="single"/>
          <w:lang w:val="en-US" w:eastAsia="zh-CN"/>
        </w:rPr>
        <w:t xml:space="preserve">                                  </w:t>
      </w:r>
    </w:p>
    <w:p w14:paraId="3795BF3D">
      <w:pPr>
        <w:spacing w:after="0" w:line="360" w:lineRule="auto"/>
        <w:ind w:left="480" w:leftChars="200" w:firstLine="0" w:firstLineChars="0"/>
        <w:rPr>
          <w:rFonts w:hint="default" w:ascii="仿宋" w:hAnsi="仿宋" w:eastAsia="仿宋" w:cs="宋体"/>
          <w:color w:val="auto"/>
          <w:sz w:val="24"/>
          <w:szCs w:val="24"/>
          <w:highlight w:val="none"/>
          <w:u w:val="single"/>
          <w:lang w:val="en-US" w:eastAsia="zh-CN"/>
        </w:rPr>
      </w:pPr>
      <w:r>
        <w:rPr>
          <w:rFonts w:hint="eastAsia" w:ascii="仿宋" w:hAnsi="仿宋" w:eastAsia="仿宋" w:cs="宋体"/>
          <w:color w:val="auto"/>
          <w:sz w:val="24"/>
          <w:szCs w:val="24"/>
          <w:highlight w:val="none"/>
        </w:rPr>
        <w:t>□一次性支付方式</w:t>
      </w:r>
      <w:r>
        <w:rPr>
          <w:rFonts w:hint="eastAsia" w:ascii="仿宋" w:hAnsi="仿宋" w:cs="宋体"/>
          <w:color w:val="auto"/>
          <w:sz w:val="24"/>
          <w:szCs w:val="24"/>
          <w:highlight w:val="none"/>
          <w:lang w:eastAsia="zh-CN"/>
        </w:rPr>
        <w:t>：</w:t>
      </w:r>
      <w:r>
        <w:rPr>
          <w:rFonts w:hint="eastAsia" w:ascii="仿宋" w:hAnsi="仿宋" w:cs="宋体"/>
          <w:color w:val="auto"/>
          <w:sz w:val="24"/>
          <w:szCs w:val="24"/>
          <w:highlight w:val="none"/>
          <w:u w:val="single"/>
          <w:lang w:val="en-US" w:eastAsia="zh-CN"/>
        </w:rPr>
        <w:t xml:space="preserve">                                </w:t>
      </w:r>
    </w:p>
    <w:p w14:paraId="48CB13C3">
      <w:pPr>
        <w:spacing w:after="0" w:line="360" w:lineRule="auto"/>
        <w:ind w:firstLine="480" w:firstLineChars="200"/>
        <w:rPr>
          <w:rFonts w:hint="default" w:ascii="仿宋" w:hAnsi="仿宋" w:eastAsia="仿宋"/>
          <w:color w:val="auto"/>
          <w:sz w:val="24"/>
          <w:szCs w:val="24"/>
          <w:highlight w:val="none"/>
          <w:u w:val="single"/>
          <w:lang w:val="en-US" w:eastAsia="zh-CN"/>
        </w:rPr>
      </w:pPr>
      <w:r>
        <w:rPr>
          <w:rFonts w:hint="eastAsia" w:ascii="仿宋" w:hAnsi="仿宋" w:eastAsia="仿宋" w:cs="宋体"/>
          <w:color w:val="auto"/>
          <w:sz w:val="24"/>
          <w:szCs w:val="24"/>
          <w:highlight w:val="none"/>
        </w:rPr>
        <w:t>□其他支付方式</w:t>
      </w:r>
      <w:r>
        <w:rPr>
          <w:rFonts w:hint="eastAsia" w:ascii="仿宋" w:hAnsi="仿宋" w:cs="宋体"/>
          <w:color w:val="auto"/>
          <w:sz w:val="24"/>
          <w:szCs w:val="24"/>
          <w:highlight w:val="none"/>
          <w:lang w:eastAsia="zh-CN"/>
        </w:rPr>
        <w:t>：</w:t>
      </w:r>
      <w:r>
        <w:rPr>
          <w:rFonts w:hint="eastAsia" w:ascii="仿宋" w:hAnsi="仿宋" w:cs="宋体"/>
          <w:color w:val="auto"/>
          <w:sz w:val="24"/>
          <w:szCs w:val="24"/>
          <w:highlight w:val="none"/>
          <w:u w:val="single"/>
          <w:lang w:val="en-US" w:eastAsia="zh-CN"/>
        </w:rPr>
        <w:t xml:space="preserve">                                  </w:t>
      </w:r>
    </w:p>
    <w:p w14:paraId="2533A162">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六、服务期限、地点</w:t>
      </w:r>
      <w:r>
        <w:rPr>
          <w:rFonts w:ascii="仿宋" w:hAnsi="仿宋" w:eastAsia="仿宋"/>
          <w:color w:val="auto"/>
          <w:sz w:val="24"/>
          <w:szCs w:val="24"/>
          <w:highlight w:val="none"/>
        </w:rPr>
        <w:tab/>
      </w:r>
    </w:p>
    <w:p w14:paraId="0B632931">
      <w:pPr>
        <w:spacing w:after="0" w:line="360" w:lineRule="auto"/>
        <w:ind w:firstLine="480"/>
        <w:rPr>
          <w:rFonts w:ascii="仿宋" w:hAnsi="仿宋" w:eastAsia="仿宋"/>
          <w:color w:val="auto"/>
          <w:sz w:val="24"/>
          <w:szCs w:val="24"/>
          <w:highlight w:val="none"/>
        </w:rPr>
      </w:pPr>
      <w:r>
        <w:rPr>
          <w:rFonts w:ascii="仿宋" w:hAnsi="仿宋" w:eastAsia="仿宋" w:cs="宋体"/>
          <w:color w:val="auto"/>
          <w:sz w:val="24"/>
          <w:szCs w:val="24"/>
          <w:highlight w:val="none"/>
        </w:rPr>
        <w:t>1</w:t>
      </w:r>
      <w:r>
        <w:rPr>
          <w:rFonts w:hint="eastAsia" w:ascii="仿宋" w:hAnsi="仿宋" w:eastAsia="仿宋" w:cs="宋体"/>
          <w:color w:val="auto"/>
          <w:sz w:val="24"/>
          <w:szCs w:val="24"/>
          <w:highlight w:val="none"/>
        </w:rPr>
        <w:t>、服务期限：</w:t>
      </w:r>
      <w:r>
        <w:rPr>
          <w:rFonts w:hint="eastAsia" w:ascii="仿宋" w:hAnsi="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u w:val="single"/>
        </w:rPr>
        <w:t>年</w:t>
      </w:r>
      <w:r>
        <w:rPr>
          <w:rFonts w:hint="eastAsia" w:ascii="仿宋" w:hAnsi="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u w:val="single"/>
        </w:rPr>
        <w:t>月</w:t>
      </w:r>
      <w:r>
        <w:rPr>
          <w:rFonts w:hint="eastAsia" w:ascii="仿宋" w:hAnsi="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u w:val="single"/>
        </w:rPr>
        <w:t>日至</w:t>
      </w:r>
      <w:r>
        <w:rPr>
          <w:rFonts w:hint="eastAsia" w:ascii="仿宋" w:hAnsi="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u w:val="single"/>
        </w:rPr>
        <w:t>年</w:t>
      </w:r>
      <w:r>
        <w:rPr>
          <w:rFonts w:hint="eastAsia" w:ascii="仿宋" w:hAnsi="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u w:val="single"/>
        </w:rPr>
        <w:t>月</w:t>
      </w:r>
      <w:r>
        <w:rPr>
          <w:rFonts w:hint="eastAsia" w:ascii="仿宋" w:hAnsi="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u w:val="single"/>
        </w:rPr>
        <w:t>日</w:t>
      </w:r>
      <w:r>
        <w:rPr>
          <w:rFonts w:hint="eastAsia" w:ascii="仿宋" w:hAnsi="仿宋" w:eastAsia="仿宋" w:cs="宋体"/>
          <w:color w:val="auto"/>
          <w:sz w:val="24"/>
          <w:szCs w:val="24"/>
          <w:highlight w:val="none"/>
        </w:rPr>
        <w:t>。</w:t>
      </w:r>
    </w:p>
    <w:p w14:paraId="13A13241">
      <w:pPr>
        <w:spacing w:after="0" w:line="360" w:lineRule="auto"/>
        <w:ind w:firstLine="480"/>
        <w:rPr>
          <w:rFonts w:hint="default" w:ascii="仿宋" w:hAnsi="仿宋" w:eastAsia="仿宋"/>
          <w:color w:val="auto"/>
          <w:sz w:val="24"/>
          <w:szCs w:val="24"/>
          <w:highlight w:val="none"/>
          <w:lang w:val="en-US"/>
        </w:rPr>
      </w:pPr>
      <w:r>
        <w:rPr>
          <w:rFonts w:ascii="仿宋" w:hAnsi="仿宋" w:eastAsia="仿宋" w:cs="宋体"/>
          <w:color w:val="auto"/>
          <w:sz w:val="24"/>
          <w:szCs w:val="24"/>
          <w:highlight w:val="none"/>
        </w:rPr>
        <w:t>2</w:t>
      </w:r>
      <w:r>
        <w:rPr>
          <w:rFonts w:hint="eastAsia" w:ascii="仿宋" w:hAnsi="仿宋" w:eastAsia="仿宋" w:cs="宋体"/>
          <w:color w:val="auto"/>
          <w:sz w:val="24"/>
          <w:szCs w:val="24"/>
          <w:highlight w:val="none"/>
        </w:rPr>
        <w:t>、服务地点：</w:t>
      </w:r>
      <w:r>
        <w:rPr>
          <w:rFonts w:hint="eastAsia" w:ascii="仿宋" w:hAnsi="仿宋" w:cs="宋体"/>
          <w:color w:val="auto"/>
          <w:sz w:val="24"/>
          <w:szCs w:val="24"/>
          <w:highlight w:val="none"/>
          <w:u w:val="single"/>
          <w:lang w:val="en-US" w:eastAsia="zh-CN"/>
        </w:rPr>
        <w:t xml:space="preserve">                                   </w:t>
      </w:r>
    </w:p>
    <w:p w14:paraId="16691D81">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七、质量</w:t>
      </w:r>
    </w:p>
    <w:p w14:paraId="025CCE27">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乙方提供的服务、货物应符合国家（或行业）规定标准。</w:t>
      </w:r>
    </w:p>
    <w:p w14:paraId="05030621">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九、知识产权</w:t>
      </w:r>
    </w:p>
    <w:p w14:paraId="4541AD2B">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乙方应保证甲方所使用的服务成果免受第三方提出的侵犯其知识产权的诉讼。</w:t>
      </w:r>
    </w:p>
    <w:p w14:paraId="28EBFAFE">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八、违约条款</w:t>
      </w:r>
    </w:p>
    <w:p w14:paraId="37CDF925">
      <w:pPr>
        <w:spacing w:after="0" w:line="360" w:lineRule="auto"/>
        <w:ind w:firstLine="480"/>
        <w:rPr>
          <w:rFonts w:ascii="仿宋" w:hAnsi="仿宋" w:eastAsia="仿宋"/>
          <w:color w:val="auto"/>
          <w:sz w:val="24"/>
          <w:szCs w:val="24"/>
          <w:highlight w:val="none"/>
        </w:rPr>
      </w:pPr>
      <w:r>
        <w:rPr>
          <w:rFonts w:ascii="仿宋" w:hAnsi="仿宋" w:eastAsia="仿宋" w:cs="宋体"/>
          <w:color w:val="auto"/>
          <w:sz w:val="24"/>
          <w:szCs w:val="24"/>
          <w:highlight w:val="none"/>
        </w:rPr>
        <w:t>1</w:t>
      </w:r>
      <w:r>
        <w:rPr>
          <w:rFonts w:hint="eastAsia" w:ascii="仿宋" w:hAnsi="仿宋" w:eastAsia="仿宋" w:cs="宋体"/>
          <w:color w:val="auto"/>
          <w:sz w:val="24"/>
          <w:szCs w:val="24"/>
          <w:highlight w:val="none"/>
        </w:rPr>
        <w:t>、乙方延迟提供服务，每延迟日，按合同金额的支付违约金。</w:t>
      </w:r>
    </w:p>
    <w:p w14:paraId="05D6DC3B">
      <w:pPr>
        <w:spacing w:after="0" w:line="360" w:lineRule="auto"/>
        <w:ind w:firstLine="480"/>
        <w:rPr>
          <w:rFonts w:ascii="仿宋" w:hAnsi="仿宋" w:eastAsia="仿宋"/>
          <w:color w:val="auto"/>
          <w:sz w:val="24"/>
          <w:szCs w:val="24"/>
          <w:highlight w:val="none"/>
        </w:rPr>
      </w:pPr>
      <w:r>
        <w:rPr>
          <w:rFonts w:ascii="仿宋" w:hAnsi="仿宋" w:eastAsia="仿宋" w:cs="宋体"/>
          <w:color w:val="auto"/>
          <w:sz w:val="24"/>
          <w:szCs w:val="24"/>
          <w:highlight w:val="none"/>
        </w:rPr>
        <w:t>2</w:t>
      </w:r>
      <w:r>
        <w:rPr>
          <w:rFonts w:hint="eastAsia" w:ascii="仿宋" w:hAnsi="仿宋" w:eastAsia="仿宋" w:cs="宋体"/>
          <w:color w:val="auto"/>
          <w:sz w:val="24"/>
          <w:szCs w:val="24"/>
          <w:highlight w:val="none"/>
        </w:rPr>
        <w:t>、一方不按期履行合同，并经另一方提示后日内仍不履行合同的，守约方有权解除合同，违约方要承担相应的法律责任。</w:t>
      </w:r>
    </w:p>
    <w:p w14:paraId="482677FC">
      <w:pPr>
        <w:spacing w:after="0" w:line="360" w:lineRule="auto"/>
        <w:ind w:firstLine="480"/>
        <w:rPr>
          <w:rFonts w:ascii="仿宋" w:hAnsi="仿宋" w:eastAsia="仿宋"/>
          <w:color w:val="auto"/>
          <w:sz w:val="24"/>
          <w:szCs w:val="24"/>
          <w:highlight w:val="none"/>
        </w:rPr>
      </w:pPr>
      <w:r>
        <w:rPr>
          <w:rFonts w:ascii="仿宋" w:hAnsi="仿宋" w:eastAsia="仿宋" w:cs="宋体"/>
          <w:color w:val="auto"/>
          <w:sz w:val="24"/>
          <w:szCs w:val="24"/>
          <w:highlight w:val="none"/>
        </w:rPr>
        <w:t>3</w:t>
      </w:r>
      <w:r>
        <w:rPr>
          <w:rFonts w:hint="eastAsia" w:ascii="仿宋" w:hAnsi="仿宋" w:eastAsia="仿宋" w:cs="宋体"/>
          <w:color w:val="auto"/>
          <w:sz w:val="24"/>
          <w:szCs w:val="24"/>
          <w:highlight w:val="none"/>
        </w:rPr>
        <w:t>、如因一方违约，双方未能就赔偿损失达成协议，引起诉讼或仲裁时，违约方除应赔偿对方经济损失外，还应承担因诉讼或仲裁所支付的律师代理费等相关费用。</w:t>
      </w:r>
    </w:p>
    <w:p w14:paraId="0DD0727D">
      <w:pPr>
        <w:spacing w:after="0" w:line="360" w:lineRule="auto"/>
        <w:ind w:firstLine="480"/>
        <w:rPr>
          <w:rFonts w:hint="eastAsia" w:ascii="仿宋" w:hAnsi="仿宋" w:eastAsia="仿宋" w:cs="宋体"/>
          <w:color w:val="auto"/>
          <w:sz w:val="24"/>
          <w:szCs w:val="24"/>
          <w:highlight w:val="none"/>
        </w:rPr>
      </w:pPr>
      <w:r>
        <w:rPr>
          <w:rFonts w:ascii="仿宋" w:hAnsi="仿宋" w:eastAsia="仿宋" w:cs="宋体"/>
          <w:color w:val="auto"/>
          <w:sz w:val="24"/>
          <w:szCs w:val="24"/>
          <w:highlight w:val="none"/>
        </w:rPr>
        <w:t>4</w:t>
      </w:r>
      <w:r>
        <w:rPr>
          <w:rFonts w:hint="eastAsia" w:ascii="仿宋" w:hAnsi="仿宋" w:eastAsia="仿宋" w:cs="宋体"/>
          <w:color w:val="auto"/>
          <w:sz w:val="24"/>
          <w:szCs w:val="24"/>
          <w:highlight w:val="none"/>
        </w:rPr>
        <w:t>、其它应承担的违约责任，以《中华人民共和国民法典》和其它有关法律、法规规定为准，无相关规定的，</w:t>
      </w:r>
      <w:r>
        <w:rPr>
          <w:rFonts w:hint="eastAsia" w:ascii="仿宋" w:hAnsi="仿宋" w:eastAsia="仿宋" w:cs="宋体"/>
          <w:color w:val="auto"/>
          <w:sz w:val="24"/>
          <w:szCs w:val="24"/>
          <w:highlight w:val="none"/>
          <w:lang w:val="en-US" w:eastAsia="zh-CN"/>
        </w:rPr>
        <w:t>无相关规定的，</w:t>
      </w:r>
      <w:r>
        <w:rPr>
          <w:rFonts w:hint="eastAsia" w:ascii="仿宋" w:hAnsi="仿宋" w:eastAsia="仿宋" w:cs="宋体"/>
          <w:color w:val="auto"/>
          <w:sz w:val="24"/>
          <w:szCs w:val="24"/>
          <w:highlight w:val="none"/>
        </w:rPr>
        <w:t>双方协商解决。</w:t>
      </w:r>
    </w:p>
    <w:p w14:paraId="7C823ADD">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5、按照本合同规定应该偿付的违约金、赔偿金等，应当在明确责任后日内，按银行规定或双方商定的结算办法付清，否则按逾期付款处理。</w:t>
      </w:r>
    </w:p>
    <w:p w14:paraId="4416E36B">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九、不可抗力条款</w:t>
      </w:r>
    </w:p>
    <w:p w14:paraId="2887F8D0">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因不可抗力致使一方不能及时或完全履行合同的，应及时通知采购代理机构及另一方，双方互不承担责任，并在天内提供有关不可抗力的相应证明。合同未履行部分是否继续履行、如何履行等问题，可由双方协商解决。</w:t>
      </w:r>
    </w:p>
    <w:p w14:paraId="018D3942">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十、争议的解决方式</w:t>
      </w:r>
    </w:p>
    <w:p w14:paraId="790F5CE2">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合同发生纠纷时，双方应协商解决，协商不成可以采用下列</w:t>
      </w:r>
      <w:r>
        <w:rPr>
          <w:rFonts w:hint="eastAsia" w:ascii="仿宋" w:hAnsi="仿宋" w:cs="宋体"/>
          <w:color w:val="auto"/>
          <w:sz w:val="24"/>
          <w:szCs w:val="24"/>
          <w:highlight w:val="none"/>
          <w:lang w:val="en-US" w:eastAsia="zh-CN"/>
        </w:rPr>
        <w:t>第</w:t>
      </w:r>
      <w:r>
        <w:rPr>
          <w:rFonts w:hint="eastAsia" w:ascii="仿宋" w:hAnsi="仿宋" w:cs="宋体"/>
          <w:color w:val="auto"/>
          <w:sz w:val="24"/>
          <w:szCs w:val="24"/>
          <w:highlight w:val="none"/>
          <w:u w:val="single"/>
          <w:lang w:val="en-US" w:eastAsia="zh-CN"/>
        </w:rPr>
        <w:t xml:space="preserve">   </w:t>
      </w:r>
      <w:bookmarkStart w:id="0" w:name="_GoBack"/>
      <w:bookmarkEnd w:id="0"/>
      <w:r>
        <w:rPr>
          <w:rFonts w:hint="eastAsia" w:ascii="仿宋" w:hAnsi="仿宋" w:eastAsia="仿宋" w:cs="宋体"/>
          <w:color w:val="auto"/>
          <w:sz w:val="24"/>
          <w:szCs w:val="24"/>
          <w:highlight w:val="none"/>
        </w:rPr>
        <w:t>方式解决：</w:t>
      </w:r>
    </w:p>
    <w:p w14:paraId="5D4F07D1">
      <w:pPr>
        <w:spacing w:after="0" w:line="360" w:lineRule="auto"/>
        <w:ind w:firstLine="480"/>
        <w:rPr>
          <w:rFonts w:ascii="仿宋" w:hAnsi="仿宋" w:eastAsia="仿宋"/>
          <w:color w:val="auto"/>
          <w:sz w:val="24"/>
          <w:szCs w:val="24"/>
          <w:highlight w:val="none"/>
        </w:rPr>
      </w:pPr>
      <w:r>
        <w:rPr>
          <w:rFonts w:ascii="仿宋" w:hAnsi="仿宋" w:eastAsia="仿宋" w:cs="宋体"/>
          <w:color w:val="auto"/>
          <w:sz w:val="24"/>
          <w:szCs w:val="24"/>
          <w:highlight w:val="none"/>
        </w:rPr>
        <w:t>1</w:t>
      </w:r>
      <w:r>
        <w:rPr>
          <w:rFonts w:hint="eastAsia" w:ascii="仿宋" w:hAnsi="仿宋" w:eastAsia="仿宋" w:cs="宋体"/>
          <w:color w:val="auto"/>
          <w:sz w:val="24"/>
          <w:szCs w:val="24"/>
          <w:highlight w:val="none"/>
        </w:rPr>
        <w:t>、提交仲裁委员会仲裁；</w:t>
      </w:r>
    </w:p>
    <w:p w14:paraId="063ACE0C">
      <w:pPr>
        <w:spacing w:after="0" w:line="360" w:lineRule="auto"/>
        <w:ind w:firstLine="480"/>
        <w:rPr>
          <w:rFonts w:ascii="仿宋" w:hAnsi="仿宋" w:eastAsia="仿宋"/>
          <w:color w:val="auto"/>
          <w:sz w:val="24"/>
          <w:szCs w:val="24"/>
          <w:highlight w:val="none"/>
        </w:rPr>
      </w:pPr>
      <w:r>
        <w:rPr>
          <w:rFonts w:ascii="仿宋" w:hAnsi="仿宋" w:eastAsia="仿宋" w:cs="宋体"/>
          <w:color w:val="auto"/>
          <w:sz w:val="24"/>
          <w:szCs w:val="24"/>
          <w:highlight w:val="none"/>
        </w:rPr>
        <w:t>2</w:t>
      </w:r>
      <w:r>
        <w:rPr>
          <w:rFonts w:hint="eastAsia" w:ascii="仿宋" w:hAnsi="仿宋" w:eastAsia="仿宋" w:cs="宋体"/>
          <w:color w:val="auto"/>
          <w:sz w:val="24"/>
          <w:szCs w:val="24"/>
          <w:highlight w:val="none"/>
        </w:rPr>
        <w:t>、向人民法院诉讼。</w:t>
      </w:r>
    </w:p>
    <w:p w14:paraId="25F78752">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十一、补充协议</w:t>
      </w:r>
    </w:p>
    <w:p w14:paraId="06476F5D">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合同未尽事宜，经双方协商可签订补充协议，所签订的补充协议与本合同具有同等的法律效力，补充协议的生效应符合本合同的有关规定。合同补充条款应同时报政府采购监督管理部门备案。</w:t>
      </w:r>
    </w:p>
    <w:p w14:paraId="3A6D7F8E">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十二、合同保存</w:t>
      </w:r>
    </w:p>
    <w:p w14:paraId="213AD6CA">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本合同一式</w:t>
      </w:r>
      <w:r>
        <w:rPr>
          <w:rFonts w:hint="eastAsia" w:ascii="仿宋" w:hAnsi="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rPr>
        <w:t>份，甲方</w:t>
      </w:r>
      <w:r>
        <w:rPr>
          <w:rFonts w:hint="eastAsia" w:ascii="仿宋" w:hAnsi="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rPr>
        <w:t>份，乙方</w:t>
      </w:r>
      <w:r>
        <w:rPr>
          <w:rFonts w:hint="eastAsia" w:ascii="仿宋" w:hAnsi="仿宋" w:cs="宋体"/>
          <w:color w:val="auto"/>
          <w:sz w:val="24"/>
          <w:szCs w:val="24"/>
          <w:highlight w:val="none"/>
          <w:u w:val="single"/>
          <w:lang w:val="en-US" w:eastAsia="zh-CN"/>
        </w:rPr>
        <w:t xml:space="preserve">  </w:t>
      </w:r>
      <w:r>
        <w:rPr>
          <w:rFonts w:hint="eastAsia" w:ascii="仿宋" w:hAnsi="仿宋" w:eastAsia="仿宋" w:cs="宋体"/>
          <w:color w:val="auto"/>
          <w:sz w:val="24"/>
          <w:szCs w:val="24"/>
          <w:highlight w:val="none"/>
        </w:rPr>
        <w:t>份，采购代理机构份。</w:t>
      </w:r>
    </w:p>
    <w:p w14:paraId="1C97B88A">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十三、其他需要补充的内容：</w:t>
      </w:r>
    </w:p>
    <w:p w14:paraId="0EF3225D">
      <w:pPr>
        <w:spacing w:after="0" w:line="360" w:lineRule="auto"/>
        <w:ind w:firstLine="480"/>
        <w:rPr>
          <w:rFonts w:ascii="仿宋" w:hAnsi="仿宋" w:eastAsia="仿宋"/>
          <w:color w:val="auto"/>
          <w:sz w:val="24"/>
          <w:szCs w:val="24"/>
          <w:highlight w:val="none"/>
        </w:rPr>
      </w:pPr>
      <w:r>
        <w:rPr>
          <w:rFonts w:ascii="仿宋" w:hAnsi="仿宋" w:eastAsia="仿宋" w:cs="宋体"/>
          <w:color w:val="auto"/>
          <w:sz w:val="24"/>
          <w:szCs w:val="24"/>
          <w:highlight w:val="none"/>
        </w:rPr>
        <w:t>1</w:t>
      </w:r>
      <w:r>
        <w:rPr>
          <w:rFonts w:hint="eastAsia" w:ascii="仿宋" w:hAnsi="仿宋" w:eastAsia="仿宋" w:cs="宋体"/>
          <w:color w:val="auto"/>
          <w:sz w:val="24"/>
          <w:szCs w:val="24"/>
          <w:highlight w:val="none"/>
        </w:rPr>
        <w:t>、乙方应按</w:t>
      </w:r>
      <w:r>
        <w:rPr>
          <w:rFonts w:hint="eastAsia" w:ascii="仿宋" w:hAnsi="仿宋" w:cs="宋体"/>
          <w:color w:val="auto"/>
          <w:sz w:val="24"/>
          <w:szCs w:val="24"/>
          <w:highlight w:val="none"/>
          <w:lang w:val="en-US" w:eastAsia="zh-CN"/>
        </w:rPr>
        <w:t>招标</w:t>
      </w:r>
      <w:r>
        <w:rPr>
          <w:rFonts w:hint="eastAsia" w:ascii="仿宋" w:hAnsi="仿宋" w:eastAsia="仿宋" w:cs="宋体"/>
          <w:color w:val="auto"/>
          <w:sz w:val="24"/>
          <w:szCs w:val="24"/>
          <w:highlight w:val="none"/>
        </w:rPr>
        <w:t>文件、响应文件及乙方在谈判过程中做出的书面说明或承诺提供及时、快速、优质的服务。</w:t>
      </w:r>
    </w:p>
    <w:p w14:paraId="2DAF98CC">
      <w:pPr>
        <w:spacing w:after="0" w:line="360" w:lineRule="auto"/>
        <w:ind w:firstLine="480"/>
        <w:rPr>
          <w:rFonts w:hint="eastAsia" w:ascii="仿宋" w:hAnsi="仿宋" w:eastAsia="仿宋" w:cs="宋体"/>
          <w:color w:val="auto"/>
          <w:sz w:val="24"/>
          <w:szCs w:val="24"/>
          <w:highlight w:val="none"/>
        </w:rPr>
      </w:pPr>
      <w:r>
        <w:rPr>
          <w:rFonts w:ascii="仿宋" w:hAnsi="仿宋" w:eastAsia="仿宋" w:cs="宋体"/>
          <w:color w:val="auto"/>
          <w:sz w:val="24"/>
          <w:szCs w:val="24"/>
          <w:highlight w:val="none"/>
        </w:rPr>
        <w:t>2</w:t>
      </w:r>
      <w:r>
        <w:rPr>
          <w:rFonts w:hint="eastAsia" w:ascii="仿宋" w:hAnsi="仿宋" w:eastAsia="仿宋" w:cs="宋体"/>
          <w:color w:val="auto"/>
          <w:sz w:val="24"/>
          <w:szCs w:val="24"/>
          <w:highlight w:val="none"/>
        </w:rPr>
        <w:t>、其他服务内容：</w:t>
      </w:r>
    </w:p>
    <w:p w14:paraId="38ABDCB2">
      <w:pPr>
        <w:pStyle w:val="4"/>
        <w:rPr>
          <w:color w:val="auto"/>
          <w:highlight w:val="none"/>
        </w:rPr>
      </w:pPr>
    </w:p>
    <w:p w14:paraId="43C63264">
      <w:pPr>
        <w:spacing w:after="0" w:line="360" w:lineRule="auto"/>
        <w:ind w:firstLine="480"/>
        <w:rPr>
          <w:rFonts w:ascii="仿宋" w:hAnsi="仿宋" w:eastAsia="仿宋"/>
          <w:color w:val="auto"/>
          <w:sz w:val="24"/>
          <w:szCs w:val="24"/>
          <w:highlight w:val="none"/>
        </w:rPr>
      </w:pPr>
    </w:p>
    <w:p w14:paraId="31818C7D">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甲方：</w:t>
      </w:r>
      <w:r>
        <w:rPr>
          <w:rFonts w:ascii="仿宋" w:hAnsi="仿宋" w:eastAsia="仿宋" w:cs="宋体"/>
          <w:color w:val="auto"/>
          <w:sz w:val="24"/>
          <w:szCs w:val="24"/>
          <w:highlight w:val="none"/>
        </w:rPr>
        <w:t>(</w:t>
      </w:r>
      <w:r>
        <w:rPr>
          <w:rFonts w:hint="eastAsia" w:ascii="仿宋" w:hAnsi="仿宋" w:eastAsia="仿宋" w:cs="宋体"/>
          <w:color w:val="auto"/>
          <w:sz w:val="24"/>
          <w:szCs w:val="24"/>
          <w:highlight w:val="none"/>
        </w:rPr>
        <w:t>公章</w:t>
      </w:r>
      <w:r>
        <w:rPr>
          <w:rFonts w:ascii="仿宋" w:hAnsi="仿宋" w:eastAsia="仿宋" w:cs="宋体"/>
          <w:color w:val="auto"/>
          <w:sz w:val="24"/>
          <w:szCs w:val="24"/>
          <w:highlight w:val="none"/>
        </w:rPr>
        <w:t>)</w:t>
      </w:r>
      <w:r>
        <w:rPr>
          <w:rFonts w:hint="eastAsia" w:ascii="仿宋" w:hAnsi="仿宋" w:eastAsia="仿宋" w:cs="宋体"/>
          <w:color w:val="auto"/>
          <w:sz w:val="24"/>
          <w:szCs w:val="24"/>
          <w:highlight w:val="none"/>
          <w:lang w:val="en-US" w:eastAsia="zh-CN"/>
        </w:rPr>
        <w:t xml:space="preserve">                          </w:t>
      </w:r>
      <w:r>
        <w:rPr>
          <w:rFonts w:hint="eastAsia" w:ascii="仿宋" w:hAnsi="仿宋" w:eastAsia="仿宋" w:cs="宋体"/>
          <w:color w:val="auto"/>
          <w:sz w:val="24"/>
          <w:szCs w:val="24"/>
          <w:highlight w:val="none"/>
        </w:rPr>
        <w:t>乙方：</w:t>
      </w:r>
      <w:r>
        <w:rPr>
          <w:rFonts w:ascii="仿宋" w:hAnsi="仿宋" w:eastAsia="仿宋" w:cs="宋体"/>
          <w:color w:val="auto"/>
          <w:sz w:val="24"/>
          <w:szCs w:val="24"/>
          <w:highlight w:val="none"/>
        </w:rPr>
        <w:t>(</w:t>
      </w:r>
      <w:r>
        <w:rPr>
          <w:rFonts w:hint="eastAsia" w:ascii="仿宋" w:hAnsi="仿宋" w:eastAsia="仿宋" w:cs="宋体"/>
          <w:color w:val="auto"/>
          <w:sz w:val="24"/>
          <w:szCs w:val="24"/>
          <w:highlight w:val="none"/>
        </w:rPr>
        <w:t>公章</w:t>
      </w:r>
      <w:r>
        <w:rPr>
          <w:rFonts w:ascii="仿宋" w:hAnsi="仿宋" w:eastAsia="仿宋" w:cs="宋体"/>
          <w:color w:val="auto"/>
          <w:sz w:val="24"/>
          <w:szCs w:val="24"/>
          <w:highlight w:val="none"/>
        </w:rPr>
        <w:t>)</w:t>
      </w:r>
      <w:r>
        <w:rPr>
          <w:rFonts w:hint="eastAsia" w:ascii="仿宋" w:hAnsi="仿宋" w:eastAsia="仿宋" w:cs="宋体"/>
          <w:color w:val="auto"/>
          <w:sz w:val="24"/>
          <w:szCs w:val="24"/>
          <w:highlight w:val="none"/>
        </w:rPr>
        <w:t>：</w:t>
      </w:r>
    </w:p>
    <w:p w14:paraId="744BD91B">
      <w:pPr>
        <w:spacing w:after="0" w:line="360" w:lineRule="auto"/>
        <w:ind w:firstLine="480" w:firstLineChars="200"/>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法定代表人或其授权代表</w:t>
      </w:r>
      <w:r>
        <w:rPr>
          <w:rFonts w:hint="eastAsia" w:ascii="仿宋" w:hAnsi="仿宋" w:cs="宋体"/>
          <w:color w:val="auto"/>
          <w:sz w:val="24"/>
          <w:szCs w:val="24"/>
          <w:highlight w:val="none"/>
          <w:lang w:val="en-US" w:eastAsia="zh-CN"/>
        </w:rPr>
        <w:t xml:space="preserve">                </w:t>
      </w:r>
      <w:r>
        <w:rPr>
          <w:rFonts w:hint="eastAsia" w:ascii="仿宋" w:hAnsi="仿宋" w:eastAsia="仿宋" w:cs="宋体"/>
          <w:color w:val="auto"/>
          <w:sz w:val="24"/>
          <w:szCs w:val="24"/>
          <w:highlight w:val="none"/>
        </w:rPr>
        <w:t>法定代表人或其授权代表</w:t>
      </w:r>
    </w:p>
    <w:p w14:paraId="45CAC8BC">
      <w:pPr>
        <w:spacing w:after="0" w:line="360" w:lineRule="auto"/>
        <w:ind w:firstLine="480" w:firstLineChars="200"/>
        <w:rPr>
          <w:rFonts w:ascii="仿宋" w:hAnsi="仿宋" w:eastAsia="仿宋"/>
          <w:color w:val="auto"/>
          <w:sz w:val="24"/>
          <w:szCs w:val="24"/>
          <w:highlight w:val="none"/>
        </w:rPr>
      </w:pPr>
      <w:r>
        <w:rPr>
          <w:rFonts w:hint="eastAsia" w:ascii="仿宋" w:hAnsi="仿宋" w:eastAsia="仿宋" w:cs="宋体"/>
          <w:color w:val="auto"/>
          <w:sz w:val="24"/>
          <w:szCs w:val="24"/>
          <w:highlight w:val="none"/>
        </w:rPr>
        <w:t>（签字）：</w:t>
      </w:r>
      <w:r>
        <w:rPr>
          <w:rFonts w:hint="eastAsia" w:ascii="仿宋" w:hAnsi="仿宋" w:eastAsia="仿宋" w:cs="宋体"/>
          <w:color w:val="auto"/>
          <w:sz w:val="24"/>
          <w:szCs w:val="24"/>
          <w:highlight w:val="none"/>
          <w:lang w:val="en-US" w:eastAsia="zh-CN"/>
        </w:rPr>
        <w:t xml:space="preserve">      </w:t>
      </w:r>
      <w:r>
        <w:rPr>
          <w:rFonts w:hint="eastAsia" w:ascii="仿宋" w:hAnsi="仿宋" w:cs="宋体"/>
          <w:color w:val="auto"/>
          <w:sz w:val="24"/>
          <w:szCs w:val="24"/>
          <w:highlight w:val="none"/>
          <w:lang w:val="en-US" w:eastAsia="zh-CN"/>
        </w:rPr>
        <w:t xml:space="preserve">                      </w:t>
      </w:r>
      <w:r>
        <w:rPr>
          <w:rFonts w:hint="eastAsia" w:ascii="仿宋" w:hAnsi="仿宋" w:eastAsia="仿宋" w:cs="宋体"/>
          <w:color w:val="auto"/>
          <w:sz w:val="24"/>
          <w:szCs w:val="24"/>
          <w:highlight w:val="none"/>
        </w:rPr>
        <w:t>（签字）：</w:t>
      </w:r>
    </w:p>
    <w:p w14:paraId="2008421B">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开户银行：</w:t>
      </w:r>
      <w:r>
        <w:rPr>
          <w:rFonts w:hint="eastAsia" w:ascii="仿宋" w:hAnsi="仿宋" w:eastAsia="仿宋" w:cs="宋体"/>
          <w:color w:val="auto"/>
          <w:sz w:val="24"/>
          <w:szCs w:val="24"/>
          <w:highlight w:val="none"/>
          <w:lang w:val="en-US" w:eastAsia="zh-CN"/>
        </w:rPr>
        <w:t xml:space="preserve">                            </w:t>
      </w:r>
      <w:r>
        <w:rPr>
          <w:rFonts w:hint="eastAsia" w:ascii="仿宋" w:hAnsi="仿宋" w:eastAsia="仿宋" w:cs="宋体"/>
          <w:color w:val="auto"/>
          <w:sz w:val="24"/>
          <w:szCs w:val="24"/>
          <w:highlight w:val="none"/>
        </w:rPr>
        <w:t>开户银行：</w:t>
      </w:r>
    </w:p>
    <w:p w14:paraId="6179CFCE">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账号：</w:t>
      </w:r>
      <w:r>
        <w:rPr>
          <w:rFonts w:hint="eastAsia" w:ascii="仿宋" w:hAnsi="仿宋" w:eastAsia="仿宋" w:cs="宋体"/>
          <w:color w:val="auto"/>
          <w:sz w:val="24"/>
          <w:szCs w:val="24"/>
          <w:highlight w:val="none"/>
          <w:lang w:val="en-US" w:eastAsia="zh-CN"/>
        </w:rPr>
        <w:t xml:space="preserve">                                </w:t>
      </w:r>
      <w:r>
        <w:rPr>
          <w:rFonts w:hint="eastAsia" w:ascii="仿宋" w:hAnsi="仿宋" w:eastAsia="仿宋" w:cs="宋体"/>
          <w:color w:val="auto"/>
          <w:sz w:val="24"/>
          <w:szCs w:val="24"/>
          <w:highlight w:val="none"/>
        </w:rPr>
        <w:t>账号：</w:t>
      </w:r>
    </w:p>
    <w:p w14:paraId="3A7D0857">
      <w:pPr>
        <w:spacing w:after="0" w:line="360" w:lineRule="auto"/>
        <w:ind w:firstLine="480"/>
        <w:rPr>
          <w:rFonts w:ascii="仿宋" w:hAnsi="仿宋" w:eastAsia="仿宋"/>
          <w:color w:val="auto"/>
          <w:sz w:val="24"/>
          <w:szCs w:val="24"/>
          <w:highlight w:val="none"/>
        </w:rPr>
      </w:pPr>
      <w:r>
        <w:rPr>
          <w:rFonts w:hint="eastAsia" w:ascii="仿宋" w:hAnsi="仿宋" w:eastAsia="仿宋" w:cs="宋体"/>
          <w:color w:val="auto"/>
          <w:sz w:val="24"/>
          <w:szCs w:val="24"/>
          <w:highlight w:val="none"/>
        </w:rPr>
        <w:t>联系电话：</w:t>
      </w:r>
      <w:r>
        <w:rPr>
          <w:rFonts w:hint="eastAsia" w:ascii="仿宋" w:hAnsi="仿宋" w:eastAsia="仿宋" w:cs="宋体"/>
          <w:color w:val="auto"/>
          <w:sz w:val="24"/>
          <w:szCs w:val="24"/>
          <w:highlight w:val="none"/>
          <w:lang w:val="en-US" w:eastAsia="zh-CN"/>
        </w:rPr>
        <w:t xml:space="preserve">                            </w:t>
      </w:r>
      <w:r>
        <w:rPr>
          <w:rFonts w:hint="eastAsia" w:ascii="仿宋" w:hAnsi="仿宋" w:eastAsia="仿宋" w:cs="宋体"/>
          <w:color w:val="auto"/>
          <w:sz w:val="24"/>
          <w:szCs w:val="24"/>
          <w:highlight w:val="none"/>
        </w:rPr>
        <w:t>联系电话：</w:t>
      </w:r>
    </w:p>
    <w:p w14:paraId="297ACEFC">
      <w:pPr>
        <w:pStyle w:val="8"/>
        <w:widowControl/>
        <w:rPr>
          <w:rFonts w:hint="eastAsia" w:ascii="仿宋" w:hAnsi="仿宋"/>
          <w:color w:val="auto"/>
          <w:sz w:val="24"/>
          <w:szCs w:val="24"/>
          <w:highlight w:val="none"/>
        </w:rPr>
      </w:pPr>
      <w:r>
        <w:rPr>
          <w:rFonts w:hint="eastAsia" w:ascii="仿宋" w:hAnsi="仿宋"/>
          <w:color w:val="auto"/>
          <w:sz w:val="24"/>
          <w:szCs w:val="24"/>
          <w:highlight w:val="none"/>
        </w:rPr>
        <w:t>签订日期：</w:t>
      </w:r>
      <w:r>
        <w:rPr>
          <w:rFonts w:hint="eastAsia" w:ascii="仿宋" w:hAnsi="仿宋"/>
          <w:color w:val="auto"/>
          <w:sz w:val="24"/>
          <w:szCs w:val="24"/>
          <w:highlight w:val="none"/>
          <w:lang w:val="en-US" w:eastAsia="zh-CN"/>
        </w:rPr>
        <w:t xml:space="preserve">                            </w:t>
      </w:r>
      <w:r>
        <w:rPr>
          <w:rFonts w:hint="eastAsia" w:ascii="仿宋" w:hAnsi="仿宋"/>
          <w:color w:val="auto"/>
          <w:sz w:val="24"/>
          <w:szCs w:val="24"/>
          <w:highlight w:val="none"/>
        </w:rPr>
        <w:t>签订日期：</w:t>
      </w:r>
    </w:p>
    <w:p w14:paraId="144F7EA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B773B"/>
    <w:rsid w:val="00ED5986"/>
    <w:rsid w:val="01166CAA"/>
    <w:rsid w:val="01740D03"/>
    <w:rsid w:val="02202095"/>
    <w:rsid w:val="02CB6C57"/>
    <w:rsid w:val="037127CC"/>
    <w:rsid w:val="03A55063"/>
    <w:rsid w:val="04704DCF"/>
    <w:rsid w:val="04F73B9E"/>
    <w:rsid w:val="08387EA3"/>
    <w:rsid w:val="09215BF1"/>
    <w:rsid w:val="09EC5AA1"/>
    <w:rsid w:val="0D3A1F53"/>
    <w:rsid w:val="0F9A4F2B"/>
    <w:rsid w:val="0FB36E5C"/>
    <w:rsid w:val="11F17C7F"/>
    <w:rsid w:val="12F979B7"/>
    <w:rsid w:val="1336140F"/>
    <w:rsid w:val="13652CF3"/>
    <w:rsid w:val="15D83FCE"/>
    <w:rsid w:val="16750F55"/>
    <w:rsid w:val="17320F48"/>
    <w:rsid w:val="17C14EED"/>
    <w:rsid w:val="1A0354B4"/>
    <w:rsid w:val="1E7B2F5C"/>
    <w:rsid w:val="1EF40BD5"/>
    <w:rsid w:val="241111D6"/>
    <w:rsid w:val="25097A30"/>
    <w:rsid w:val="26C22E00"/>
    <w:rsid w:val="26C33398"/>
    <w:rsid w:val="290D6316"/>
    <w:rsid w:val="29334B7E"/>
    <w:rsid w:val="2A070679"/>
    <w:rsid w:val="2E48663D"/>
    <w:rsid w:val="2F2878FE"/>
    <w:rsid w:val="30C704A0"/>
    <w:rsid w:val="318E15A9"/>
    <w:rsid w:val="32415C44"/>
    <w:rsid w:val="33F80639"/>
    <w:rsid w:val="342E1E33"/>
    <w:rsid w:val="355C1AC5"/>
    <w:rsid w:val="370602F8"/>
    <w:rsid w:val="37E06F2D"/>
    <w:rsid w:val="3829017B"/>
    <w:rsid w:val="38A0235A"/>
    <w:rsid w:val="3A6101B9"/>
    <w:rsid w:val="3BA06805"/>
    <w:rsid w:val="3CA97B93"/>
    <w:rsid w:val="3D6557A9"/>
    <w:rsid w:val="3E223B78"/>
    <w:rsid w:val="3E5A1BA6"/>
    <w:rsid w:val="403D352D"/>
    <w:rsid w:val="411C0794"/>
    <w:rsid w:val="41503963"/>
    <w:rsid w:val="434A3F97"/>
    <w:rsid w:val="457F1F5A"/>
    <w:rsid w:val="45B47A68"/>
    <w:rsid w:val="4603504D"/>
    <w:rsid w:val="46DA4045"/>
    <w:rsid w:val="47741D90"/>
    <w:rsid w:val="477A0879"/>
    <w:rsid w:val="4A4C1C5E"/>
    <w:rsid w:val="4BA23AC4"/>
    <w:rsid w:val="4C5B0FC3"/>
    <w:rsid w:val="4D4034F1"/>
    <w:rsid w:val="4F220A16"/>
    <w:rsid w:val="4F3E697A"/>
    <w:rsid w:val="50093A57"/>
    <w:rsid w:val="50C82B81"/>
    <w:rsid w:val="526E6A17"/>
    <w:rsid w:val="549D4BAD"/>
    <w:rsid w:val="54DF51B2"/>
    <w:rsid w:val="56E60023"/>
    <w:rsid w:val="56FC33A3"/>
    <w:rsid w:val="581F38AC"/>
    <w:rsid w:val="584162EC"/>
    <w:rsid w:val="5984556D"/>
    <w:rsid w:val="5A427832"/>
    <w:rsid w:val="5A8B327B"/>
    <w:rsid w:val="5A994A33"/>
    <w:rsid w:val="5AA955EF"/>
    <w:rsid w:val="5B4A7EA5"/>
    <w:rsid w:val="5B9718EC"/>
    <w:rsid w:val="5BDB1E24"/>
    <w:rsid w:val="5C1D0293"/>
    <w:rsid w:val="5C950B27"/>
    <w:rsid w:val="5D112675"/>
    <w:rsid w:val="5D3110AF"/>
    <w:rsid w:val="5DB93D9B"/>
    <w:rsid w:val="5E4C4214"/>
    <w:rsid w:val="5F1F08B9"/>
    <w:rsid w:val="5FFA069B"/>
    <w:rsid w:val="625935D5"/>
    <w:rsid w:val="62BF0236"/>
    <w:rsid w:val="647169F4"/>
    <w:rsid w:val="66263F98"/>
    <w:rsid w:val="66B756F7"/>
    <w:rsid w:val="66BF156E"/>
    <w:rsid w:val="670200B2"/>
    <w:rsid w:val="67CA4DF7"/>
    <w:rsid w:val="6A026237"/>
    <w:rsid w:val="6A1D03CB"/>
    <w:rsid w:val="6B513E0C"/>
    <w:rsid w:val="71CA611F"/>
    <w:rsid w:val="73557071"/>
    <w:rsid w:val="76857CCE"/>
    <w:rsid w:val="774873DB"/>
    <w:rsid w:val="77BA2D70"/>
    <w:rsid w:val="79794944"/>
    <w:rsid w:val="7991097C"/>
    <w:rsid w:val="79A8539B"/>
    <w:rsid w:val="7A682979"/>
    <w:rsid w:val="7D110E6D"/>
    <w:rsid w:val="7E002E6E"/>
    <w:rsid w:val="7F601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jc w:val="both"/>
    </w:pPr>
    <w:rPr>
      <w:rFonts w:ascii="Times New Roman" w:hAnsi="Times New Roman" w:eastAsia="仿宋" w:cs="Times New Roman"/>
      <w:kern w:val="2"/>
      <w:sz w:val="24"/>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1"/>
    <w:unhideWhenUsed/>
    <w:qFormat/>
    <w:uiPriority w:val="99"/>
    <w:pPr>
      <w:spacing w:after="120"/>
    </w:pPr>
  </w:style>
  <w:style w:type="paragraph" w:styleId="4">
    <w:name w:val="Normal Indent"/>
    <w:basedOn w:val="1"/>
    <w:next w:val="5"/>
    <w:qFormat/>
    <w:uiPriority w:val="0"/>
    <w:pPr>
      <w:spacing w:line="300" w:lineRule="auto"/>
      <w:ind w:firstLine="420" w:firstLineChars="200"/>
    </w:pPr>
    <w:rPr>
      <w:rFonts w:ascii="Times New Roman"/>
      <w:kern w:val="2"/>
      <w:sz w:val="21"/>
      <w:szCs w:val="24"/>
    </w:rPr>
  </w:style>
  <w:style w:type="paragraph" w:styleId="5">
    <w:name w:val="toc 4"/>
    <w:basedOn w:val="1"/>
    <w:next w:val="1"/>
    <w:unhideWhenUsed/>
    <w:qFormat/>
    <w:uiPriority w:val="39"/>
    <w:pPr>
      <w:ind w:left="1260" w:leftChars="600"/>
    </w:pPr>
  </w:style>
  <w:style w:type="paragraph" w:customStyle="1" w:styleId="8">
    <w:name w:val="正文空2格  1."/>
    <w:basedOn w:val="1"/>
    <w:autoRedefine/>
    <w:qFormat/>
    <w:uiPriority w:val="99"/>
    <w:pPr>
      <w:widowControl w:val="0"/>
      <w:snapToGrid/>
      <w:spacing w:after="0" w:line="360" w:lineRule="auto"/>
      <w:ind w:firstLine="480" w:firstLineChars="200"/>
      <w:jc w:val="both"/>
    </w:pPr>
    <w:rPr>
      <w:rFonts w:ascii="宋体" w:hAnsi="Times New Roman" w:eastAsia="仿宋" w:cs="宋体"/>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晨之露珠</cp:lastModifiedBy>
  <dcterms:modified xsi:type="dcterms:W3CDTF">2025-04-24T03:31:43Z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7EFFEAE492194466AA122B29EFDF2C1B_12</vt:lpwstr>
  </property>
  <property fmtid="{D5CDD505-2E9C-101B-9397-08002B2CF9AE}" pid="4" name="KSOTemplateDocerSaveRecord">
    <vt:lpwstr>eyJoZGlkIjoiNzE5ZDIyOTBjNzM1ZmNiYjcxODUyMDExNDUzZjBmZmMiLCJ1c2VySWQiOiIzMDQ5Mzg4NjIifQ==</vt:lpwstr>
  </property>
</Properties>
</file>