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版本号：SXKKSYFGS2025-02420250707001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园区一路东段雨污分流工程项目—监理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SXKKSYFGS2025-024</w:t>
      </w:r>
      <w:r>
        <w:br/>
      </w:r>
      <w:r>
        <w:br/>
      </w:r>
      <w:r>
        <w:br/>
      </w:r>
    </w:p>
    <w:p>
      <w:pPr>
        <w:pStyle w:val="null3"/>
        <w:jc w:val="center"/>
        <w:outlineLvl w:val="2"/>
      </w:pPr>
      <w:r>
        <w:rPr>
          <w:rFonts w:ascii="仿宋_GB2312" w:hAnsi="仿宋_GB2312" w:cs="仿宋_GB2312" w:eastAsia="仿宋_GB2312"/>
          <w:sz w:val="28"/>
          <w:b/>
        </w:rPr>
        <w:t>三原县住房和城乡建设局</w:t>
      </w:r>
    </w:p>
    <w:p>
      <w:pPr>
        <w:pStyle w:val="null3"/>
        <w:jc w:val="center"/>
        <w:outlineLvl w:val="2"/>
      </w:pPr>
      <w:r>
        <w:rPr>
          <w:rFonts w:ascii="仿宋_GB2312" w:hAnsi="仿宋_GB2312" w:cs="仿宋_GB2312" w:eastAsia="仿宋_GB2312"/>
          <w:sz w:val="28"/>
          <w:b/>
        </w:rPr>
        <w:t>陕西夸克工程造价咨询有限公司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陕西夸克工程造价咨询有限公司</w:t>
      </w:r>
      <w:r>
        <w:rPr>
          <w:rFonts w:ascii="仿宋_GB2312" w:hAnsi="仿宋_GB2312" w:cs="仿宋_GB2312" w:eastAsia="仿宋_GB2312"/>
        </w:rPr>
        <w:t>（以下简称“代理机构”）受</w:t>
      </w:r>
      <w:r>
        <w:rPr>
          <w:rFonts w:ascii="仿宋_GB2312" w:hAnsi="仿宋_GB2312" w:cs="仿宋_GB2312" w:eastAsia="仿宋_GB2312"/>
        </w:rPr>
        <w:t>三原县住房和城乡建设局</w:t>
      </w:r>
      <w:r>
        <w:rPr>
          <w:rFonts w:ascii="仿宋_GB2312" w:hAnsi="仿宋_GB2312" w:cs="仿宋_GB2312" w:eastAsia="仿宋_GB2312"/>
        </w:rPr>
        <w:t>委托，拟对</w:t>
      </w:r>
      <w:r>
        <w:rPr>
          <w:rFonts w:ascii="仿宋_GB2312" w:hAnsi="仿宋_GB2312" w:cs="仿宋_GB2312" w:eastAsia="仿宋_GB2312"/>
        </w:rPr>
        <w:t>园区一路东段雨污分流工程项目—监理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SXKKSYFGS2025-024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园区一路东段雨污分流工程项目—监理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本项目是对园区一路东段雨污分流工程项目，项目西起裕原路，东至家具二路，沿家具二路过关中环线，沿东三路北段通往清河，全长约1834米，主要建设雨污水管网</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采购包1（园区一路东段雨污分流工程项目-监理）：属于专门面向中小企业采购。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相应主体：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2、公司资质：供应商须具备建设行政主管部门核发工程监理综合资质或市政公用工程监理乙级及以上资质</w:t>
      </w:r>
    </w:p>
    <w:p>
      <w:pPr>
        <w:pStyle w:val="null3"/>
      </w:pPr>
      <w:r>
        <w:rPr>
          <w:rFonts w:ascii="仿宋_GB2312" w:hAnsi="仿宋_GB2312" w:cs="仿宋_GB2312" w:eastAsia="仿宋_GB2312"/>
        </w:rPr>
        <w:t>3、人员资质：供应商参加采购活动近3年内经营活动中没有重大违法记拟派往本项目的总监理工程师必须为本企业注册的监理工程师，具备市政公用工程专业注册监理工程师资格，提供2024年06月至今至少1个月的供应商为其缴纳的社会保险的证明材料（五险一金提供一项即可），且未担任其它在建工程的总监理工程师，无不良信用记录；录声明</w:t>
      </w:r>
    </w:p>
    <w:p>
      <w:pPr>
        <w:pStyle w:val="null3"/>
      </w:pPr>
      <w:r>
        <w:rPr>
          <w:rFonts w:ascii="仿宋_GB2312" w:hAnsi="仿宋_GB2312" w:cs="仿宋_GB2312" w:eastAsia="仿宋_GB2312"/>
        </w:rPr>
        <w:t>4、财务状况报告：提供2023年度或2024年度经审计的财务报告（成立时间至提交响应文件截止时间不足一年的可提供成立后任意时段的资产负债表），或其开标前三个月内银行出具的资信证明，（以上两种形式的资料提供任何一种即可）；</w:t>
      </w:r>
    </w:p>
    <w:p>
      <w:pPr>
        <w:pStyle w:val="null3"/>
      </w:pPr>
      <w:r>
        <w:rPr>
          <w:rFonts w:ascii="仿宋_GB2312" w:hAnsi="仿宋_GB2312" w:cs="仿宋_GB2312" w:eastAsia="仿宋_GB2312"/>
        </w:rPr>
        <w:t>5、税收缴纳证明：提供开标截止时间前6个月内至少已缴纳1个月的完税证明，完税证明上应有代收机构或税务机关的公章或业务专用章。依法免税或新成立的供应商应提供相关文件证明；</w:t>
      </w:r>
    </w:p>
    <w:p>
      <w:pPr>
        <w:pStyle w:val="null3"/>
      </w:pPr>
      <w:r>
        <w:rPr>
          <w:rFonts w:ascii="仿宋_GB2312" w:hAnsi="仿宋_GB2312" w:cs="仿宋_GB2312" w:eastAsia="仿宋_GB2312"/>
        </w:rPr>
        <w:t>6、社会保障资金缴纳证明：提供开标截止时间前6个月内至少已缴存1个月的社会保障资金缴存单据或社保机构开具的社会保险参保缴费情况证明，单据或证明上应有社保机构或代收机构的公章或业务专用章。依法不需要缴纳社会保障资金或新成立的供应商应提供相关文件证明；</w:t>
      </w:r>
    </w:p>
    <w:p>
      <w:pPr>
        <w:pStyle w:val="null3"/>
      </w:pPr>
      <w:r>
        <w:rPr>
          <w:rFonts w:ascii="仿宋_GB2312" w:hAnsi="仿宋_GB2312" w:cs="仿宋_GB2312" w:eastAsia="仿宋_GB2312"/>
        </w:rPr>
        <w:t>7、信用中国：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8、非联合体声明：本项目不接受联合体投标，单位负责人为同一人或者存在直接控股、管理关系的不同投标人，不得参加同一合同项下的政府采购活动（提供非联合体投标声明，包括控股管理声明）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三原县住房和城乡建设局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安海妮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13409103525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陕西夸克工程造价咨询有限公司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陕西省西安市未央区萧家北巷文景尚品12楼1218室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邬女士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13325304067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采购包1：496,800.00元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考《国家计委关于印发&lt;招标代理服务收费管理暂行办法&gt;的通知》（计价格[2002]1980号）和国家发展改革委员会办公厅颁发的《关于招标代理服务收费有关问题的通知》（发改办价格『2003』857号）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三原县住房和城乡建设局</w:t>
      </w:r>
      <w:r>
        <w:rPr>
          <w:rFonts w:ascii="仿宋_GB2312" w:hAnsi="仿宋_GB2312" w:cs="仿宋_GB2312" w:eastAsia="仿宋_GB2312"/>
        </w:rPr>
        <w:t>和</w:t>
      </w:r>
      <w:r>
        <w:rPr>
          <w:rFonts w:ascii="仿宋_GB2312" w:hAnsi="仿宋_GB2312" w:cs="仿宋_GB2312" w:eastAsia="仿宋_GB2312"/>
        </w:rPr>
        <w:t>陕西夸克工程造价咨询有限公司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陕西夸克工程造价咨询有限公司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陕西夸克工程造价咨询有限公司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符合项目要求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陕西夸克工程造价咨询有限公司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联系人：邬女士</w:t>
      </w:r>
    </w:p>
    <w:p>
      <w:pPr>
        <w:pStyle w:val="null3"/>
      </w:pPr>
      <w:r>
        <w:rPr>
          <w:rFonts w:ascii="仿宋_GB2312" w:hAnsi="仿宋_GB2312" w:cs="仿宋_GB2312" w:eastAsia="仿宋_GB2312"/>
        </w:rPr>
        <w:t>联系电话：13325304067</w:t>
      </w:r>
    </w:p>
    <w:p>
      <w:pPr>
        <w:pStyle w:val="null3"/>
      </w:pPr>
      <w:r>
        <w:rPr>
          <w:rFonts w:ascii="仿宋_GB2312" w:hAnsi="仿宋_GB2312" w:cs="仿宋_GB2312" w:eastAsia="仿宋_GB2312"/>
        </w:rPr>
        <w:t>地址：陕西省咸阳市三原县城关镇冶金大道和平村华阳物流斜对面一号会议室</w:t>
      </w:r>
    </w:p>
    <w:p>
      <w:pPr>
        <w:pStyle w:val="null3"/>
      </w:pPr>
      <w:r>
        <w:rPr>
          <w:rFonts w:ascii="仿宋_GB2312" w:hAnsi="仿宋_GB2312" w:cs="仿宋_GB2312" w:eastAsia="仿宋_GB2312"/>
        </w:rPr>
        <w:t>邮编：713800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本项目是对园区一路东段雨污分流工程项目，项目西起裕原路，东至家具二路，沿家具二路过关中环线，沿东三路北段通往清河，全长约1834米，主要建设雨污水管网</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496,800.00</w:t>
      </w:r>
    </w:p>
    <w:p>
      <w:pPr>
        <w:pStyle w:val="null3"/>
      </w:pPr>
      <w:r>
        <w:rPr>
          <w:rFonts w:ascii="仿宋_GB2312" w:hAnsi="仿宋_GB2312" w:cs="仿宋_GB2312" w:eastAsia="仿宋_GB2312"/>
        </w:rPr>
        <w:t>采购包最高限价（元）: 496,800.00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园区一路东段雨污分流工程项目—监理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496,800.00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标的名称：园区一路东段雨污分流工程项目—监理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一、工程概况</w:t>
            </w:r>
          </w:p>
          <w:p>
            <w:pPr>
              <w:pStyle w:val="null3"/>
            </w:pPr>
            <w:r>
              <w:rPr>
                <w:rFonts w:ascii="仿宋_GB2312" w:hAnsi="仿宋_GB2312" w:cs="仿宋_GB2312" w:eastAsia="仿宋_GB2312"/>
                <w:sz w:val="15"/>
              </w:rPr>
              <w:t>三原县园区一路东段雨污分流工程项目由三原县住房和城乡建设局负责建设，</w:t>
            </w:r>
            <w:r>
              <w:rPr>
                <w:rFonts w:ascii="仿宋_GB2312" w:hAnsi="仿宋_GB2312" w:cs="仿宋_GB2312" w:eastAsia="仿宋_GB2312"/>
                <w:sz w:val="15"/>
              </w:rPr>
              <w:t>本项目是对园区一路东段雨污分流工程项目，项目西起裕原路，东至家具二路，沿家具二路过关中环线，沿东三路北段通往清河，全长约1834米，主要建设雨污水管网</w:t>
            </w:r>
          </w:p>
          <w:p>
            <w:pPr>
              <w:pStyle w:val="null3"/>
            </w:pPr>
            <w:r>
              <w:rPr>
                <w:rFonts w:ascii="仿宋_GB2312" w:hAnsi="仿宋_GB2312" w:cs="仿宋_GB2312" w:eastAsia="仿宋_GB2312"/>
                <w:sz w:val="21"/>
                <w:b/>
              </w:rPr>
              <w:t>二、监理服务范围与工作目标</w:t>
            </w:r>
          </w:p>
          <w:p>
            <w:pPr>
              <w:pStyle w:val="null3"/>
            </w:pPr>
            <w:r>
              <w:rPr>
                <w:rFonts w:ascii="仿宋_GB2312" w:hAnsi="仿宋_GB2312" w:cs="仿宋_GB2312" w:eastAsia="仿宋_GB2312"/>
                <w:sz w:val="21"/>
                <w:b/>
              </w:rPr>
              <w:t>（一）监理服务范围</w:t>
            </w:r>
          </w:p>
          <w:p>
            <w:pPr>
              <w:pStyle w:val="null3"/>
            </w:pPr>
            <w:r>
              <w:rPr>
                <w:rFonts w:ascii="仿宋_GB2312" w:hAnsi="仿宋_GB2312" w:cs="仿宋_GB2312" w:eastAsia="仿宋_GB2312"/>
                <w:sz w:val="15"/>
              </w:rPr>
              <w:t>监理单位需对工程进行全方位、全过程跟踪监理。涵盖原合流制排水系统拆除以及新分流制雨污水排水系统的沟槽开挖、管基、安管、坞膀、素土夯填等环节，同时包括道路路基、构造层、路面层的施工与验收工作。在工程管理方面，需负责工程质量、进度、造价、安全文明施工等的把控，以及合同管理、信息管理和组织协调工作。监理服务范围严格依据《建设工程监理规范》（GB/T 50319 - 2013）等相关规范标准，以及工程建设项目的招标文件、施工合同等文件确定。</w:t>
            </w:r>
          </w:p>
          <w:p>
            <w:pPr>
              <w:pStyle w:val="null3"/>
            </w:pPr>
            <w:r>
              <w:rPr>
                <w:rFonts w:ascii="仿宋_GB2312" w:hAnsi="仿宋_GB2312" w:cs="仿宋_GB2312" w:eastAsia="仿宋_GB2312"/>
                <w:sz w:val="21"/>
                <w:b/>
              </w:rPr>
              <w:t>（二）工作目标</w:t>
            </w:r>
          </w:p>
          <w:p>
            <w:pPr>
              <w:pStyle w:val="null3"/>
            </w:pPr>
            <w:r>
              <w:rPr>
                <w:rFonts w:ascii="仿宋_GB2312" w:hAnsi="仿宋_GB2312" w:cs="仿宋_GB2312" w:eastAsia="仿宋_GB2312"/>
                <w:sz w:val="15"/>
              </w:rPr>
              <w:t>1.质量控制目标：质量控制目标明确为达到市政合格工程标准，与《建筑工程施工质量验收统一标准》（GB 50300 - 2013）等国家及行业质量验收标准要求一致。监理单位在质量控制过程中，需严格按照这些标准对工程施工的各个环节进行监督检查。例如，对每一批次的原材料，按照相关标准规定的检验项目进行检测，只有检测合格的原材料才能用于工程建设；在各分项工程、分部工程验收时，严格依据标准中规定的验收程序和内容进行操作，验收合格后方可进入下一道工序。</w:t>
            </w:r>
          </w:p>
          <w:p>
            <w:pPr>
              <w:pStyle w:val="null3"/>
            </w:pPr>
            <w:r>
              <w:rPr>
                <w:rFonts w:ascii="仿宋_GB2312" w:hAnsi="仿宋_GB2312" w:cs="仿宋_GB2312" w:eastAsia="仿宋_GB2312"/>
                <w:sz w:val="15"/>
              </w:rPr>
              <w:t>2.工期控制目标：计划工期设定为 365 日历天，从工程正式开工之日起计算至竣工之日止。这一目标的设定综合考虑了工程规模、施工难度、当地气候等季节因素以及类似工程的经验数据，同时符合《中华人民共和国民法典》中关于合同工期约定的相关规定，以及建设工程相关法律法规对合理工期的要求。监理单位需依据工期目标，对施工单位提交的施工总进度计划、月进度计划、周进度计划等进行严格审核，并对施工进度进行动态跟踪监督。一旦发现实际进度与计划进度出现偏差，及时要求施工单位采取有效措施进行纠偏，确保工程能够在合同约定的工期内顺利完成。</w:t>
            </w:r>
          </w:p>
          <w:p>
            <w:pPr>
              <w:pStyle w:val="null3"/>
            </w:pPr>
            <w:r>
              <w:rPr>
                <w:rFonts w:ascii="仿宋_GB2312" w:hAnsi="仿宋_GB2312" w:cs="仿宋_GB2312" w:eastAsia="仿宋_GB2312"/>
                <w:sz w:val="15"/>
              </w:rPr>
              <w:t>3.投资控制目标：总监需与业主协商，将工程投资严格控制在合理的造价范围内。这一控制过程需依据工程预算文件、施工合同中的造价条款等进行。监理单位在投资控制工作中，对于工程变更、现场签证等涉及造价调整的事项要进行严格审核，确保其符合合同约定和相关规定。在审核施工单位提交的工程款支付申请时，要依据合同约定的支付方式、支付条件以及工程实际完成情况进行细致审核，坚决防止超付、误付等情况发生，保障建设资金的合理、有效使用。</w:t>
            </w:r>
          </w:p>
          <w:p>
            <w:pPr>
              <w:pStyle w:val="null3"/>
            </w:pPr>
            <w:r>
              <w:rPr>
                <w:rFonts w:ascii="仿宋_GB2312" w:hAnsi="仿宋_GB2312" w:cs="仿宋_GB2312" w:eastAsia="仿宋_GB2312"/>
                <w:sz w:val="21"/>
                <w:b/>
              </w:rPr>
              <w:t>三、施工过程监理技术参数与性能指标</w:t>
            </w:r>
          </w:p>
          <w:p>
            <w:pPr>
              <w:pStyle w:val="null3"/>
            </w:pPr>
            <w:r>
              <w:rPr>
                <w:rFonts w:ascii="仿宋_GB2312" w:hAnsi="仿宋_GB2312" w:cs="仿宋_GB2312" w:eastAsia="仿宋_GB2312"/>
                <w:sz w:val="21"/>
                <w:b/>
              </w:rPr>
              <w:t>（一）材料与设备</w:t>
            </w:r>
          </w:p>
          <w:p>
            <w:pPr>
              <w:pStyle w:val="null3"/>
            </w:pPr>
            <w:r>
              <w:rPr>
                <w:rFonts w:ascii="仿宋_GB2312" w:hAnsi="仿宋_GB2312" w:cs="仿宋_GB2312" w:eastAsia="仿宋_GB2312"/>
                <w:sz w:val="15"/>
              </w:rPr>
              <w:t>1.管材：污水管网、雨水排水系统，所有管材的环刚度需达到设计及规范要求，监理单位在管材进场时，必须严格检查管材的质量证明文件，包括产品合格证、质量检验报告等。同时，按照规定批次进行抽样送检，对管材的性能指标进行检测，确保管材质量完全符合设计和标准要求。对于任何不合格的管材，坚决要求退场，严禁用于本工程。</w:t>
            </w:r>
          </w:p>
          <w:p>
            <w:pPr>
              <w:pStyle w:val="null3"/>
            </w:pPr>
            <w:r>
              <w:rPr>
                <w:rFonts w:ascii="仿宋_GB2312" w:hAnsi="仿宋_GB2312" w:cs="仿宋_GB2312" w:eastAsia="仿宋_GB2312"/>
                <w:sz w:val="15"/>
              </w:rPr>
              <w:t>2.检查井：污水检查井和雨水检查井的规格、尺寸以及数量必须严格符合设计图纸要求。检查井的材质、砌筑质量等也需满足相关标准。检查井的砌筑应采用符合标准的砖材，砌筑砂浆的强度等级必须符合设计要求，在砌筑过程中要确保灰缝饱满、平整，检查井壁垂直。监理单位需对检查井的施工过程进行旁站监理，对检查井的尺寸、位置、砌筑质量等进行详细检查验收，确保其符合设计和规范要求。</w:t>
            </w:r>
          </w:p>
          <w:p>
            <w:pPr>
              <w:pStyle w:val="null3"/>
            </w:pPr>
            <w:r>
              <w:rPr>
                <w:rFonts w:ascii="仿宋_GB2312" w:hAnsi="仿宋_GB2312" w:cs="仿宋_GB2312" w:eastAsia="仿宋_GB2312"/>
                <w:sz w:val="15"/>
              </w:rPr>
              <w:t>3.雨水口：本工程设有雨水口 61 座，其规格需严格符合设计要求。雨水口的安装必须牢固，进水箅子应与路面平齐或略低于路面，以保证雨水能够顺利流入雨水口。监理单位在雨水口施工过程中，要对其位置、安装质量进行认真检查，确保雨水口能够正常发挥排水功能。</w:t>
            </w:r>
          </w:p>
          <w:p>
            <w:pPr>
              <w:pStyle w:val="null3"/>
            </w:pPr>
            <w:r>
              <w:rPr>
                <w:rFonts w:ascii="仿宋_GB2312" w:hAnsi="仿宋_GB2312" w:cs="仿宋_GB2312" w:eastAsia="仿宋_GB2312"/>
                <w:sz w:val="15"/>
              </w:rPr>
              <w:t>4.其他设备：其他设备需符合设计选型要求。设备进场时，监理单位要仔细检查设备的产品合格证、说明书、性能检测报告等文件，同时要求施工单位对设备进行调试，确保设备性能满足设计要求。对于涉及安全的设备，如起重设备等，还需检查其特种设备检验合格证，操作人员的特种作业人员证书等，确保设备使用安全合规。</w:t>
            </w:r>
          </w:p>
          <w:p>
            <w:pPr>
              <w:pStyle w:val="null3"/>
            </w:pPr>
            <w:r>
              <w:rPr>
                <w:rFonts w:ascii="仿宋_GB2312" w:hAnsi="仿宋_GB2312" w:cs="仿宋_GB2312" w:eastAsia="仿宋_GB2312"/>
                <w:sz w:val="21"/>
                <w:b/>
              </w:rPr>
              <w:t>（二）施工工艺与质量控制</w:t>
            </w:r>
          </w:p>
          <w:p>
            <w:pPr>
              <w:pStyle w:val="null3"/>
            </w:pPr>
            <w:r>
              <w:rPr>
                <w:rFonts w:ascii="仿宋_GB2312" w:hAnsi="仿宋_GB2312" w:cs="仿宋_GB2312" w:eastAsia="仿宋_GB2312"/>
                <w:sz w:val="15"/>
              </w:rPr>
              <w:t>1.沟槽开挖：沟槽开挖的深度、宽度、坡度等必须严格符合设计要求。在开挖过程中，要特别注意对周边土体的保护，防止出现坍塌现象。监理单位需对沟槽开挖的放线进行复核，确保开挖位置准确无误。在开挖过程中，要实时检查开挖深度、宽度是否符合设计要求，同时密切关注边坡的稳定性。一旦发现边坡有坍塌迹象，应立即要求施工单位采取支护措施。对于采用机械开挖的情况，要严格控制好机械的作业范围，避免出现超挖或扰动基底土的情况。</w:t>
            </w:r>
          </w:p>
          <w:p>
            <w:pPr>
              <w:pStyle w:val="null3"/>
            </w:pPr>
            <w:r>
              <w:rPr>
                <w:rFonts w:ascii="仿宋_GB2312" w:hAnsi="仿宋_GB2312" w:cs="仿宋_GB2312" w:eastAsia="仿宋_GB2312"/>
                <w:sz w:val="15"/>
              </w:rPr>
              <w:t>2.管基施工：监理单位要对垫层材料的质量进行严格检查。在施工过程中，要监督施工单位按照设计厚度进行铺设，并采用合适的压实设备进行压实，确保垫层的压实度符合要求。对于管基的平整度、高程等，也要进行精确测量检查，保证管基能够为管道安装提供良好的基础。</w:t>
            </w:r>
          </w:p>
          <w:p>
            <w:pPr>
              <w:pStyle w:val="null3"/>
            </w:pPr>
            <w:r>
              <w:rPr>
                <w:rFonts w:ascii="仿宋_GB2312" w:hAnsi="仿宋_GB2312" w:cs="仿宋_GB2312" w:eastAsia="仿宋_GB2312"/>
                <w:sz w:val="15"/>
              </w:rPr>
              <w:t>3.管道安装：机械起吊入沟时，塑料管采用人工入沟方式，严禁滚落下沟，施工人员不得在吊管下方操作。每节管必须插接到位，胶圈不得扭曲，调整标高后稳管固定，保证标高、坡度和设计相符。监理单位在管道安装过程中，要进行旁站监理，对管道的安装质量进行全面检查，包括管道的接口密封性能、管道的顺直度、标高和坡度等。对于接口采用橡胶圈密封的管道，要重点检查橡胶圈的质量和安装情况，确保接口密封良好，无渗漏现象。同时，要对管道安装后的位置进行复核，保证管道安装符合设计要求。</w:t>
            </w:r>
          </w:p>
          <w:p>
            <w:pPr>
              <w:pStyle w:val="null3"/>
            </w:pPr>
            <w:r>
              <w:rPr>
                <w:rFonts w:ascii="仿宋_GB2312" w:hAnsi="仿宋_GB2312" w:cs="仿宋_GB2312" w:eastAsia="仿宋_GB2312"/>
                <w:sz w:val="15"/>
              </w:rPr>
              <w:t>4.管道基础包裹及回填施工要求如下：采用中粗砂进行基础包裹施工，车道区域包裹高度至管顶以上 500mm，车道外区域包裹高度至管外顶；包裹以上部分以素土分层夯实至道路结构层。基础包裹及回填的材料性能、分层厚度、压实度等指标必须严格契合设计文件及现行规范要求。监理单位应对基础包裹及回填材料实施进场质量核验：中粗砂需满足洁净度要求，严禁混入杂质；素土需控制含水率在最佳区间。施工过程中，监理应监督施工单位按设计分层厚度作业，严格执行分层夯实工艺，精准把控每层回填厚度及压实度。压实度检测需依照相关标准规定的频次进行抽样试验，确保达标，以规避因基础包裹及回填施工不当导致的管道位移、上浮等质量风险。</w:t>
            </w:r>
          </w:p>
          <w:p>
            <w:pPr>
              <w:pStyle w:val="null3"/>
            </w:pPr>
            <w:r>
              <w:rPr>
                <w:rFonts w:ascii="仿宋_GB2312" w:hAnsi="仿宋_GB2312" w:cs="仿宋_GB2312" w:eastAsia="仿宋_GB2312"/>
                <w:sz w:val="15"/>
              </w:rPr>
              <w:t>5.道路工程：各结构层的材料配合比、厚度、压实度等需严格符合设计和相关道路工程施工质量验收标准。监理单位要对道路工程的原材料进行严格检验，如沥青、水泥、碎石、石灰等，确保原材料质量合格。在施工过程中，要对各结构层的施工工艺进行监督，如二灰碎石的拌和、摊铺、碾压，水泥砼的浇筑、振捣、养护，沥青砼的摊铺、碾压温度控制等。同时，要对各结构层的厚度、压实度、平整度等进行检测验收，确保道路工程质量符合设计要求。</w:t>
            </w:r>
          </w:p>
          <w:p>
            <w:pPr>
              <w:pStyle w:val="null3"/>
            </w:pPr>
            <w:r>
              <w:rPr>
                <w:rFonts w:ascii="仿宋_GB2312" w:hAnsi="仿宋_GB2312" w:cs="仿宋_GB2312" w:eastAsia="仿宋_GB2312"/>
                <w:sz w:val="21"/>
                <w:b/>
              </w:rPr>
              <w:t>（三）安全与文明施工</w:t>
            </w:r>
          </w:p>
          <w:p>
            <w:pPr>
              <w:pStyle w:val="null3"/>
            </w:pPr>
            <w:r>
              <w:rPr>
                <w:rFonts w:ascii="仿宋_GB2312" w:hAnsi="仿宋_GB2312" w:cs="仿宋_GB2312" w:eastAsia="仿宋_GB2312"/>
                <w:sz w:val="15"/>
              </w:rPr>
              <w:t>1.安全施工：对于涉及深基坑、高边坡等危险性较大的分部分项工程，施工单位应编制经五人专家组论证通过的基坑围护或用沉井施工法施工的安全专项方案，并由施工企业技术负责人审核同意，监理总监签认后组织实施，以保证集水井施工安全。监理单位要严格审查施工单位提交的安全专项方案，检查方案中是否对施工过程中的安全风险进行了全面分析，安全技术措施是否可行、有效。在施工过程中，要监督施工单位按照专项方案进行施工，对基坑的支护结构、边坡的稳定性进行监测，如发现安全隐患，应及时要求施工单位整改，情况严重时，应责令暂停施工。同时，要检查施工单位对施工人员的安全教育培训情况，特种作业人员的持证上岗情况，施工现场的安全防护设施设置情况等，确保施工现场的安全生产。</w:t>
            </w:r>
          </w:p>
          <w:p>
            <w:pPr>
              <w:pStyle w:val="null3"/>
            </w:pPr>
            <w:r>
              <w:rPr>
                <w:rFonts w:ascii="仿宋_GB2312" w:hAnsi="仿宋_GB2312" w:cs="仿宋_GB2312" w:eastAsia="仿宋_GB2312"/>
                <w:sz w:val="15"/>
              </w:rPr>
              <w:t>2.文明施工：要求工地现场达到文明施工合格标准，施工单位应采取措施减少施工对周边环境的影响，如设置围挡、洒水降尘、合理安排施工时间等，减少施工噪声、粉尘对居民生活和环境的干扰。监理单位要监督施工单位落实文明施工措施，对施工现场的环境卫生、材料堆放、临时设施搭建等进行检查，督促施工单位保持施工现场的整洁、有序，符合文明施工要求。</w:t>
            </w:r>
          </w:p>
          <w:p>
            <w:pPr>
              <w:pStyle w:val="null3"/>
            </w:pPr>
            <w:r>
              <w:rPr>
                <w:rFonts w:ascii="仿宋_GB2312" w:hAnsi="仿宋_GB2312" w:cs="仿宋_GB2312" w:eastAsia="仿宋_GB2312"/>
                <w:sz w:val="21"/>
                <w:b/>
              </w:rPr>
              <w:t>（四）工程验收</w:t>
            </w:r>
          </w:p>
          <w:p>
            <w:pPr>
              <w:pStyle w:val="null3"/>
            </w:pPr>
            <w:r>
              <w:rPr>
                <w:rFonts w:ascii="仿宋_GB2312" w:hAnsi="仿宋_GB2312" w:cs="仿宋_GB2312" w:eastAsia="仿宋_GB2312"/>
                <w:sz w:val="15"/>
              </w:rPr>
              <w:t>1.分项工程验收：按照工程施工顺序，对各分项工程进行验收，如管道安装分项工程、检查井砌筑分项工程、道路基层分项工程等。每个分项工程完成后，施工单位应进行自检，自检合格后向监理单位报验。监理单位依据相关标准和设计要求，对分项工程的质量进行检查验收，包括对工程实体质量的检查和施工资料的审查。只有分项工程验收合格，才能进行下一个分项工程的施工。</w:t>
            </w:r>
          </w:p>
          <w:p>
            <w:pPr>
              <w:pStyle w:val="null3"/>
            </w:pPr>
            <w:r>
              <w:rPr>
                <w:rFonts w:ascii="仿宋_GB2312" w:hAnsi="仿宋_GB2312" w:cs="仿宋_GB2312" w:eastAsia="仿宋_GB2312"/>
                <w:sz w:val="15"/>
              </w:rPr>
              <w:t>2.分部工程验收：当一个分部工程所含的分项工程全部验收合格后，进行分部工程验收。例如，排水管道分部工程，包括管道安装、检查井砌筑、雨水口安装等分项工程。分部工程验收时，除了对工程实体质量进行检查外，还需对分部工程的质量控制资料进行审查，如原材料检验报告、施工记录、隐蔽工程验收记录等。监理单位组织施工单位项目负责人和技术、质量负责人等进行验收，地基与基础、主体结构分部工程的勘察、设计单位工程项目负责人和施工单位技术、质量部门负责人也应参加相关分部工程验收，确保分部工程质量符合要求。</w:t>
            </w:r>
          </w:p>
          <w:p>
            <w:pPr>
              <w:pStyle w:val="null3"/>
            </w:pPr>
            <w:r>
              <w:rPr>
                <w:rFonts w:ascii="仿宋_GB2312" w:hAnsi="仿宋_GB2312" w:cs="仿宋_GB2312" w:eastAsia="仿宋_GB2312"/>
                <w:sz w:val="15"/>
              </w:rPr>
              <w:t>3.单位工程验收：单位工程完工后，施工单位自行组织有关人员进行检查评定，并向建设单位提交工程验收报告。建设单位收到工程验收报告后，应由建设单位（项目）负责人组织施工（含分包单位）、设计、监理等单位（项目）负责人进行单位（子单位）工程验收。单位工程验收内容包括工程实体质量、工程质量控制资料、工程安全和功能检验资料、工程观感质量等方面。监理单位在单位工程验收过程中，要对施工单位的自评结果进行审核，协助建设单位组织各方进行验收，对存在的问题提出整改意见，督促施工单位整改，确保单位工程质量达到合格标准。</w:t>
            </w:r>
          </w:p>
          <w:p>
            <w:pPr>
              <w:pStyle w:val="null3"/>
            </w:pPr>
            <w:r>
              <w:rPr>
                <w:rFonts w:ascii="仿宋_GB2312" w:hAnsi="仿宋_GB2312" w:cs="仿宋_GB2312" w:eastAsia="仿宋_GB2312"/>
                <w:sz w:val="15"/>
              </w:rPr>
              <w:t>4.竣工验收：整个工程完工后，由建设单位组织竣工验收。竣工验收需邀请工程质量监督机构参加，对工程质量进行全面检查和评价。监理单位应协助建设单位做好竣工验收的各项准备工作，如整理监理资料，对工程质量进行预验收，对发现的问题督促施工单位整改。在竣工验收过程中，监理单位要汇报工程监理情况，对工程质量提出监理意见，确保工程通过竣工验收，交付使用。</w:t>
            </w:r>
          </w:p>
          <w:p>
            <w:pPr>
              <w:pStyle w:val="null3"/>
            </w:pPr>
            <w:r>
              <w:rPr>
                <w:rFonts w:ascii="仿宋_GB2312" w:hAnsi="仿宋_GB2312" w:cs="仿宋_GB2312" w:eastAsia="仿宋_GB2312"/>
                <w:sz w:val="21"/>
                <w:b/>
              </w:rPr>
              <w:t>（五）工程变更管理</w:t>
            </w:r>
          </w:p>
          <w:p>
            <w:pPr>
              <w:pStyle w:val="null3"/>
            </w:pPr>
            <w:r>
              <w:rPr>
                <w:rFonts w:ascii="仿宋_GB2312" w:hAnsi="仿宋_GB2312" w:cs="仿宋_GB2312" w:eastAsia="仿宋_GB2312"/>
                <w:sz w:val="15"/>
              </w:rPr>
              <w:t>设计变更从严控制，无论何方的变更要求均须监理审查认可并经业主同意，方可由设计出具变更，再由监理开具变更令，承包商方可实施，并尽量不改变关键路线。监理单位在工程变更管理过程中，要严格按照相关规定和程序进行操作。对于施工单位提出的变更申请，要审查变更的必要性、合理性和可行性，分析变更对工程质量、进度、造价的影响。对于设计单位提出的设计变更，要审核变更文件是否符合相关规范和标准要求。在变更实施过程中，要监督施工单位按照变更文件进行施工，确保变更后的工程质量符合要求。同时，要对变更引起的造价调整进行审核，防止因工程变更导致造价失控。</w:t>
            </w:r>
          </w:p>
          <w:p>
            <w:pPr>
              <w:pStyle w:val="null3"/>
            </w:pPr>
            <w:r>
              <w:rPr>
                <w:rFonts w:ascii="仿宋_GB2312" w:hAnsi="仿宋_GB2312" w:cs="仿宋_GB2312" w:eastAsia="仿宋_GB2312"/>
                <w:sz w:val="21"/>
                <w:b/>
              </w:rPr>
              <w:t>（六）进度控制</w:t>
            </w:r>
          </w:p>
          <w:p>
            <w:pPr>
              <w:pStyle w:val="null3"/>
            </w:pPr>
            <w:r>
              <w:rPr>
                <w:rFonts w:ascii="仿宋_GB2312" w:hAnsi="仿宋_GB2312" w:cs="仿宋_GB2312" w:eastAsia="仿宋_GB2312"/>
                <w:sz w:val="15"/>
              </w:rPr>
              <w:t>1.进度计划编制与审核：事前编制总进度网络计划，并据此编制目标分解计划，把计划细分到分部分项和各工序上，每月、每旬审核各工程作业进度计划，根据关键路线进行重点控制。监理单位要协助建设单位制定合理的总进度计划，审核施工单位提交的施工总进度计划是否符合合同工期要求，是否与建设单位的建设意图相符合。同时，要对施工单位提交的月进度计划、周进度计划进行审核，检查计划中各工序的逻辑关系是否合理，资源配置是否满足施工进度要求。对于关键路线上的工作，要重点关注，确保关键工作按时完成，不影响总工期。</w:t>
            </w:r>
          </w:p>
          <w:p>
            <w:pPr>
              <w:pStyle w:val="null3"/>
            </w:pPr>
            <w:r>
              <w:rPr>
                <w:rFonts w:ascii="仿宋_GB2312" w:hAnsi="仿宋_GB2312" w:cs="仿宋_GB2312" w:eastAsia="仿宋_GB2312"/>
                <w:sz w:val="15"/>
              </w:rPr>
              <w:t>2.进度跟踪与调整：事中进度控制，严格进度检查，及时进行实际进度与计划进度对比，并分析进度偏差对后续工序和关键路线的影响，提出可行的修改措施进行纠偏使工程进度朝着目标方向正常进展。监理单位要定期对工程进度进行检查，收集实际进度数据，与计划进度进行对比分析。当发现实际进度滞后时，要分析原因，如劳动力不足、材料供应不及时、施工工艺不合理等，并要求施工单位采取相应的措施进行纠偏，如增加劳动力、调整材料采购计划、优化施工工艺等。对于因非施工单位原因导致的进度延误，如设计变更、不可抗力等，要协助建设单位合理调整工期。</w:t>
            </w:r>
          </w:p>
          <w:p>
            <w:pPr>
              <w:pStyle w:val="null3"/>
            </w:pPr>
            <w:r>
              <w:rPr>
                <w:rFonts w:ascii="仿宋_GB2312" w:hAnsi="仿宋_GB2312" w:cs="仿宋_GB2312" w:eastAsia="仿宋_GB2312"/>
                <w:sz w:val="15"/>
              </w:rPr>
              <w:t>3.进度协调：运用每周例会和专题会议，协调各承包商间、单位工程分部分项工程及各工序间的进度关系及时处理关键工序重要环节有关问题，使工程进度朝着计划目标正常进展。监理单位要通过组织召开工程例会、专题会议等方式，及时协调解决工程施工过程中出现的影响进度的问题。在会议中，要明确各方的责任和义务，督促各方密切配合，共同推进工程进度。对于施工单位之间的交叉作业问题、施工与设计单位之间的沟通协调问题等，要及时进行协调处理，确保工程施工顺利进行。</w:t>
            </w:r>
          </w:p>
          <w:p>
            <w:pPr>
              <w:pStyle w:val="null3"/>
            </w:pPr>
            <w:r>
              <w:rPr>
                <w:rFonts w:ascii="仿宋_GB2312" w:hAnsi="仿宋_GB2312" w:cs="仿宋_GB2312" w:eastAsia="仿宋_GB2312"/>
                <w:sz w:val="21"/>
                <w:b/>
              </w:rPr>
              <w:t>（七）投资控制</w:t>
            </w:r>
          </w:p>
          <w:p>
            <w:pPr>
              <w:pStyle w:val="null3"/>
            </w:pPr>
            <w:r>
              <w:rPr>
                <w:rFonts w:ascii="仿宋_GB2312" w:hAnsi="仿宋_GB2312" w:cs="仿宋_GB2312" w:eastAsia="仿宋_GB2312"/>
                <w:sz w:val="15"/>
              </w:rPr>
              <w:t>1.工程计量：监理单位要按照施工合同约定的计量规则，对施工单位完成的工程量进行计量。在计量过程中，要严格依据设计图纸、工程变更文件、现场实际施工情况等进行计量，确保计量数据的准确性。对于隐蔽工程的计量，要在隐蔽前进行测量核实，并做好记录。同时，要对施工单位提交的已完工程量报表进行审核，防止多计、重计工程量。</w:t>
            </w:r>
          </w:p>
          <w:p>
            <w:pPr>
              <w:pStyle w:val="null3"/>
            </w:pPr>
            <w:r>
              <w:rPr>
                <w:rFonts w:ascii="仿宋_GB2312" w:hAnsi="仿宋_GB2312" w:cs="仿宋_GB2312" w:eastAsia="仿宋_GB2312"/>
                <w:sz w:val="15"/>
              </w:rPr>
              <w:t>2.工程款支付审核：根据工程计量结果和施工合同约定的支付方式、支付条件，审核施工单位提交的工程款支付申请。监理单位要检查工程款支付申请中所涉及的工程量是否属实，工程质量是否合格，是否符合合同约定的支付条件等。只有在审核通过后，才能签署工程款支付证书，建设单位方可支付工程款。在审核过程中，要严格控制工程款的支付，防止超付工程款，保障建设资金的合理使用。</w:t>
            </w:r>
          </w:p>
          <w:p>
            <w:pPr>
              <w:pStyle w:val="null3"/>
            </w:pPr>
            <w:r>
              <w:rPr>
                <w:rFonts w:ascii="仿宋_GB2312" w:hAnsi="仿宋_GB2312" w:cs="仿宋_GB2312" w:eastAsia="仿宋_GB2312"/>
                <w:sz w:val="15"/>
              </w:rPr>
              <w:t>3.造价控制措施：通过一系列行之有效的经济手段约束有关单位和人员的行为，保证资金、人力资源配置计划的落实。例如，在施工合同中约定工程进度奖、质量奖等奖励措施，对按时完成工程进度、工程质量达到优良标准的施工单位给予奖励；同时，约定罚款措施，对施工单位因自身原因导致的工期延误、质量不合格等情况进行罚款。监理单位要监督这些经济手段的执行情况，确保其能够有效发挥作用，促进工程建设的顺利进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365天，实际监理工期与实际工程工期同步,具体监理进场时间以采购人通知时间为准，完成委托监理以工程缺陷责任期满为止。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三原县园区一路片区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达到项目要求及甲方要求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经验收合格后付款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在履行过程中发生的与之有关的任何争议，双方友好协商解决，协商不成的，由仲裁机构裁决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相应主体</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公司资质</w:t>
            </w:r>
          </w:p>
        </w:tc>
        <w:tc>
          <w:tcPr>
            <w:tcW w:type="dxa" w:w="3322"/>
          </w:tcPr>
          <w:p>
            <w:pPr>
              <w:pStyle w:val="null3"/>
            </w:pPr>
            <w:r>
              <w:rPr>
                <w:rFonts w:ascii="仿宋_GB2312" w:hAnsi="仿宋_GB2312" w:cs="仿宋_GB2312" w:eastAsia="仿宋_GB2312"/>
              </w:rPr>
              <w:t>供应商须具备建设行政主管部门核发工程监理综合资质或市政公用工程监理乙级及以上资质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人员资质</w:t>
            </w:r>
          </w:p>
        </w:tc>
        <w:tc>
          <w:tcPr>
            <w:tcW w:type="dxa" w:w="3322"/>
          </w:tcPr>
          <w:p>
            <w:pPr>
              <w:pStyle w:val="null3"/>
            </w:pPr>
            <w:r>
              <w:rPr>
                <w:rFonts w:ascii="仿宋_GB2312" w:hAnsi="仿宋_GB2312" w:cs="仿宋_GB2312" w:eastAsia="仿宋_GB2312"/>
              </w:rPr>
              <w:t>供应商参加采购活动近3年内经营活动中没有重大违法记拟派往本项目的总监理工程师必须为本企业注册的监理工程师，具备市政公用工程专业注册监理工程师资格，提供2024年06月至今至少1个月的供应商为其缴纳的社会保险的证明材料（五险一金提供一项即可），且未担任其它在建工程的总监理工程师，无不良信用记录；录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成立时间至提交响应文件截止时间不足一年的可提供成立后任意时段的资产负债表），或其开标前三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提供开标截止时间前6个月内至少已缴纳1个月的完税证明，完税证明上应有代收机构或税务机关的公章或业务专用章。依法免税或新成立的供应商应提供相关文件证明；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截止时间前6个月内至少已缴存1个月的社会保障资金缴存单据或社保机构开具的社会保险参保缴费情况证明，单据或证明上应有社保机构或代收机构的公章或业务专用章。依法不需要缴纳社会保障资金或新成立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本项目不接受联合体投标，单位负责人为同一人或者存在直接控股、管理关系的不同投标人，不得参加同一合同项下的政府采购活动（提供非联合体投标声明，包括控股管理声明）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除明确允许供应商可以自行编写的外，磋商响应文件未按照磋商文件给定的格式编制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有效性</w:t>
            </w:r>
          </w:p>
        </w:tc>
        <w:tc>
          <w:tcPr>
            <w:tcW w:type="dxa" w:w="3322"/>
          </w:tcPr>
          <w:p>
            <w:pPr>
              <w:pStyle w:val="null3"/>
            </w:pPr>
            <w:r>
              <w:rPr>
                <w:rFonts w:ascii="仿宋_GB2312" w:hAnsi="仿宋_GB2312" w:cs="仿宋_GB2312" w:eastAsia="仿宋_GB2312"/>
              </w:rPr>
              <w:t>针对同一项目提交两份或多份内容不同的磋商响应文件，未书面声明哪一份是有效的或出现选择性报价的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限价</w:t>
            </w:r>
          </w:p>
        </w:tc>
        <w:tc>
          <w:tcPr>
            <w:tcW w:type="dxa" w:w="3322"/>
          </w:tcPr>
          <w:p>
            <w:pPr>
              <w:pStyle w:val="null3"/>
            </w:pPr>
            <w:r>
              <w:rPr>
                <w:rFonts w:ascii="仿宋_GB2312" w:hAnsi="仿宋_GB2312" w:cs="仿宋_GB2312" w:eastAsia="仿宋_GB2312"/>
              </w:rPr>
              <w:t>磋商报价超过采购预算/限价</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磋商有效期不符合磋商文件的要求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w:t>
            </w:r>
          </w:p>
        </w:tc>
        <w:tc>
          <w:tcPr>
            <w:tcW w:type="dxa" w:w="3322"/>
          </w:tcPr>
          <w:p>
            <w:pPr>
              <w:pStyle w:val="null3"/>
            </w:pPr>
            <w:r>
              <w:rPr>
                <w:rFonts w:ascii="仿宋_GB2312" w:hAnsi="仿宋_GB2312" w:cs="仿宋_GB2312" w:eastAsia="仿宋_GB2312"/>
              </w:rPr>
              <w:t>对磋商文件技术要求未作出明确响应，对不得偏离的要求是否作了实质性响应</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法律、法规和磋商文件规定的其他无效响应情形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总监理工程师及监理部人员</w:t>
            </w:r>
          </w:p>
        </w:tc>
        <w:tc>
          <w:tcPr>
            <w:tcW w:type="dxa" w:w="2492"/>
          </w:tcPr>
          <w:p>
            <w:pPr>
              <w:pStyle w:val="null3"/>
            </w:pPr>
            <w:r>
              <w:rPr>
                <w:rFonts w:ascii="仿宋_GB2312" w:hAnsi="仿宋_GB2312" w:cs="仿宋_GB2312" w:eastAsia="仿宋_GB2312"/>
              </w:rPr>
              <w:t>（1）具备高级及以上工程师职称证书得4分，中级工程师职称证书得2分，其余不得分； （2）具备本科学历及以上学历得3分，专科学历得2分，其余不得分； （3）作为总监理工程师2022年至今承接过类似项目监理业绩，提供1项符合要求的业绩得3分。（提供监理中标通知书或监理合同复印件等证明材料，并加盖单位公章，须体现总监理工程师姓名）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现场监理人员配备（1）</w:t>
            </w:r>
          </w:p>
        </w:tc>
        <w:tc>
          <w:tcPr>
            <w:tcW w:type="dxa" w:w="2492"/>
          </w:tcPr>
          <w:p>
            <w:pPr>
              <w:pStyle w:val="null3"/>
            </w:pPr>
            <w:r>
              <w:rPr>
                <w:rFonts w:ascii="仿宋_GB2312" w:hAnsi="仿宋_GB2312" w:cs="仿宋_GB2312" w:eastAsia="仿宋_GB2312"/>
              </w:rPr>
              <w:t>（1）项目监理部人员配备完全满足本项目各专业要求，人员专业安排科学、合理性、有针对性，得5分； （2）项目监理部人员配备基本满足本项目各专业要求，人员专业具有一定的排科学、合理性、针对性，得3分； （3）项目监理部人员配备基本满足本项目各专业要求，人员专业缺乏一定的排科学、合理性、针对性，得1分；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现场监理人员配备（2）</w:t>
            </w:r>
          </w:p>
        </w:tc>
        <w:tc>
          <w:tcPr>
            <w:tcW w:type="dxa" w:w="2492"/>
          </w:tcPr>
          <w:p>
            <w:pPr>
              <w:pStyle w:val="null3"/>
            </w:pPr>
            <w:r>
              <w:rPr>
                <w:rFonts w:ascii="仿宋_GB2312" w:hAnsi="仿宋_GB2312" w:cs="仿宋_GB2312" w:eastAsia="仿宋_GB2312"/>
              </w:rPr>
              <w:t>监理部人员组成中具备高级职称的得1分，具备中级职称的计0.5分，最高得5分。注：提供相关人员证明材料的复印件并加盖单位公章。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针对本项目提供质量控制方案，内容包括但不限于①监理质量控制目标②质量控制体系③过程质量控制④质量验收流程⑤质量保障措施等内容，方案内容详细完整、针对性强、可行性高，符合项目实际 要求。 总分5分，每项满分1分，缺项不得分 , 每项内容存在缺陷，扣0.5分。缺陷是指内容不合理、虽有内容但 不完善、内容表述前后不一致、套 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进度控制方案</w:t>
            </w:r>
          </w:p>
        </w:tc>
        <w:tc>
          <w:tcPr>
            <w:tcW w:type="dxa" w:w="2492"/>
          </w:tcPr>
          <w:p>
            <w:pPr>
              <w:pStyle w:val="null3"/>
            </w:pPr>
            <w:r>
              <w:rPr>
                <w:rFonts w:ascii="仿宋_GB2312" w:hAnsi="仿宋_GB2312" w:cs="仿宋_GB2312" w:eastAsia="仿宋_GB2312"/>
              </w:rPr>
              <w:t>针对本项目提供进度控制方案，内容包括但不限于①进度控制目标②进度控制原则③进度控制计划④分级管理原则⑤监控计划等内容，方案内容详细完整、针对性强、可行性高，符合项目实际 要求。 总分5分，每项满分1分，缺项不得分 , 每项内容存在缺陷，扣0.5分。缺陷是指内容不合理、虽有内容但 不完善、内容表述前后不一致、套 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造价控制方案</w:t>
            </w:r>
          </w:p>
        </w:tc>
        <w:tc>
          <w:tcPr>
            <w:tcW w:type="dxa" w:w="2492"/>
          </w:tcPr>
          <w:p>
            <w:pPr>
              <w:pStyle w:val="null3"/>
            </w:pPr>
            <w:r>
              <w:rPr>
                <w:rFonts w:ascii="仿宋_GB2312" w:hAnsi="仿宋_GB2312" w:cs="仿宋_GB2312" w:eastAsia="仿宋_GB2312"/>
              </w:rPr>
              <w:t>针对本项目提供造价控制方案，内容包括但不限于①造价控制目标②造价控原则③造价控制计划④造价风险分析⑤造价控制措施等内容，方案内容详细完整、针对性强、可行性高，符合项目实际要求。 总分5分，每项满分1分，缺项不得分 , 每项内容存在缺陷，扣0.5分。缺陷是指内容不合理、虽有内容但 不完善、内容表述前后不一致、套用其他项目方案或与项目需求不匹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文明施工、安全生产监督管理方案</w:t>
            </w:r>
          </w:p>
        </w:tc>
        <w:tc>
          <w:tcPr>
            <w:tcW w:type="dxa" w:w="2492"/>
          </w:tcPr>
          <w:p>
            <w:pPr>
              <w:pStyle w:val="null3"/>
            </w:pPr>
            <w:r>
              <w:rPr>
                <w:rFonts w:ascii="仿宋_GB2312" w:hAnsi="仿宋_GB2312" w:cs="仿宋_GB2312" w:eastAsia="仿宋_GB2312"/>
              </w:rPr>
              <w:t>针对本项目提供文明施工、安全生产监督管理方案，内容包括但不限于①责任体系构建②制度规范管控③现场措施监理④动态检查整改⑤应急联动处置措施等内容，方案内容详细完整、针对性强、可行性高，符合项目实际 要求。 总分5分，每项满分1分，缺项不得分 , 每项内容存在缺陷，扣0.5分。缺陷是指内容不合理、虽有内容但 不完善、内容表述前后不一致、套用其他项目方案或与项目需求不匹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合同、信息管理及协调方案</w:t>
            </w:r>
          </w:p>
        </w:tc>
        <w:tc>
          <w:tcPr>
            <w:tcW w:type="dxa" w:w="2492"/>
          </w:tcPr>
          <w:p>
            <w:pPr>
              <w:pStyle w:val="null3"/>
            </w:pPr>
            <w:r>
              <w:rPr>
                <w:rFonts w:ascii="仿宋_GB2312" w:hAnsi="仿宋_GB2312" w:cs="仿宋_GB2312" w:eastAsia="仿宋_GB2312"/>
              </w:rPr>
              <w:t>针对本项目提供合同、信息管理及协调方案，内容包括但不限于①合同全周期管控②信息标准化管理③多方协同协调机制④信息沟通与反馈⑤文档档案管理等内容，方案内容详细完整、针对性强、可行性高，符合项目实际 要求。总分5分， 每项满分1分，缺项不得分,每项内容存在缺陷，扣0.5分。缺陷是指内容不合理、虽有内容但 不完善、内容表述前后不一致、套用其他项目方案或与项目需求不匹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信息资料管理方案</w:t>
            </w:r>
          </w:p>
        </w:tc>
        <w:tc>
          <w:tcPr>
            <w:tcW w:type="dxa" w:w="2492"/>
          </w:tcPr>
          <w:p>
            <w:pPr>
              <w:pStyle w:val="null3"/>
            </w:pPr>
            <w:r>
              <w:rPr>
                <w:rFonts w:ascii="仿宋_GB2312" w:hAnsi="仿宋_GB2312" w:cs="仿宋_GB2312" w:eastAsia="仿宋_GB2312"/>
              </w:rPr>
              <w:t>针对本项目提供信息资料管理方案，内容包括但不限于①信息资料管理目标②信息资料管理原则③信息资料管理方法④资料归档与移交方案⑤资料管理监督与改进等内容，方案内容详细完整、针对性强、可行性高，符合项目实际 要求。总分5分， 每项满分1分，缺项不得分,每项内容存在缺陷，扣0.5分。缺陷是指内容不合理、虽有内容但 不完善、内容表述前后不一致、套用其他项目方案或与项目需求不匹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监理程序及工作制度</w:t>
            </w:r>
          </w:p>
        </w:tc>
        <w:tc>
          <w:tcPr>
            <w:tcW w:type="dxa" w:w="2492"/>
          </w:tcPr>
          <w:p>
            <w:pPr>
              <w:pStyle w:val="null3"/>
            </w:pPr>
            <w:r>
              <w:rPr>
                <w:rFonts w:ascii="仿宋_GB2312" w:hAnsi="仿宋_GB2312" w:cs="仿宋_GB2312" w:eastAsia="仿宋_GB2312"/>
              </w:rPr>
              <w:t>针对本项目提供监理程序及工作制度，内容包括但不限于①前期准备与规划程序②施工过程动态监理程序③协调与沟通工作制度④验收与交付监理程序⑤监理内部考核与责任制度等内容，方案内容详细完整、针对性强、可行性高，符合项目实际 要求。总分5分， 每项满分1分，缺项不得分,每项内容存在缺陷，扣0.5分。缺陷是指内容不合理、虽有内容但 不完善、内容表述前后不一致、套用其他项目方案或与项目需求不匹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质保期内的监理服务措施</w:t>
            </w:r>
          </w:p>
        </w:tc>
        <w:tc>
          <w:tcPr>
            <w:tcW w:type="dxa" w:w="2492"/>
          </w:tcPr>
          <w:p>
            <w:pPr>
              <w:pStyle w:val="null3"/>
            </w:pPr>
            <w:r>
              <w:rPr>
                <w:rFonts w:ascii="仿宋_GB2312" w:hAnsi="仿宋_GB2312" w:cs="仿宋_GB2312" w:eastAsia="仿宋_GB2312"/>
              </w:rPr>
              <w:t>针对本项目提供质保期内的监理服务措施，内容包括但不限于①工程质量检查②缺陷整改追踪③变更管理④编写监理报告和记录⑤监督检查制度以及审查缺陷的修复方案等内容，方案内容详细完整、针对性强、可行性高，符合项目实际要求。总分5分，每项满分1分，缺项不得分,每项内容存在缺陷，扣0.5分。缺陷是指内容不合理、虽有内容但 不完善、内容表述前后不一致、套用其他项目方案或与项目需求不匹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旁站计划及措施</w:t>
            </w:r>
          </w:p>
        </w:tc>
        <w:tc>
          <w:tcPr>
            <w:tcW w:type="dxa" w:w="2492"/>
          </w:tcPr>
          <w:p>
            <w:pPr>
              <w:pStyle w:val="null3"/>
            </w:pPr>
            <w:r>
              <w:rPr>
                <w:rFonts w:ascii="仿宋_GB2312" w:hAnsi="仿宋_GB2312" w:cs="仿宋_GB2312" w:eastAsia="仿宋_GB2312"/>
              </w:rPr>
              <w:t>针对本项目提供旁站计划及措施，内容包括但不限于①旁站范围与计划编制②旁站人员资质与培训③全过程监督与记录规范④问题处理与联动机制⑤旁站成果分析与改进等内容，方案内容详细完整、针对性强、可行性高，符合项目实际要求。总分5分，每项满分1分，缺项不得分,每项内容存在缺陷，扣0.5分。缺陷是指内容不合理、虽有内容但 不完善、内容表述前后不一致、套用其他项目方案或与项目需求不匹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治污减霾预控措施</w:t>
            </w:r>
          </w:p>
        </w:tc>
        <w:tc>
          <w:tcPr>
            <w:tcW w:type="dxa" w:w="2492"/>
          </w:tcPr>
          <w:p>
            <w:pPr>
              <w:pStyle w:val="null3"/>
            </w:pPr>
            <w:r>
              <w:rPr>
                <w:rFonts w:ascii="仿宋_GB2312" w:hAnsi="仿宋_GB2312" w:cs="仿宋_GB2312" w:eastAsia="仿宋_GB2312"/>
              </w:rPr>
              <w:t>针对本项目治污减霾预控措施，内容包括但不限于①预控目标②工作程序③方法及措施④问题处理⑤应急响应与长效管理等内容，方案内容详细完整、针对性强、可行性高，符合项目实际要求。总分5分，总分5分，每项满分1分，缺项不得分,每项内容存在缺陷，扣0.5分。缺陷是指内容不合理、虽有内容但 不完善、内容表述前后不一致、套用其他项目方案或与项目需求不匹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监理设施</w:t>
            </w:r>
          </w:p>
        </w:tc>
        <w:tc>
          <w:tcPr>
            <w:tcW w:type="dxa" w:w="2492"/>
          </w:tcPr>
          <w:p>
            <w:pPr>
              <w:pStyle w:val="null3"/>
            </w:pPr>
            <w:r>
              <w:rPr>
                <w:rFonts w:ascii="仿宋_GB2312" w:hAnsi="仿宋_GB2312" w:cs="仿宋_GB2312" w:eastAsia="仿宋_GB2312"/>
              </w:rPr>
              <w:t>（1）常规办公设备、专业检测设备配备及适用性完全满足本项目实施的得5分; （2）常规办公设备、专业检测设备配备及适用性基本满足本项目实施的得3分； （3）未提供的不计分。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相关服务</w:t>
            </w:r>
          </w:p>
        </w:tc>
        <w:tc>
          <w:tcPr>
            <w:tcW w:type="dxa" w:w="2492"/>
          </w:tcPr>
          <w:p>
            <w:pPr>
              <w:pStyle w:val="null3"/>
            </w:pPr>
            <w:r>
              <w:rPr>
                <w:rFonts w:ascii="仿宋_GB2312" w:hAnsi="仿宋_GB2312" w:cs="仿宋_GB2312" w:eastAsia="仿宋_GB2312"/>
              </w:rPr>
              <w:t>（1）工程勘察设计阶段、工程保修阶段服务阶段对协调各方关系与提供专业意见和建议有完整适用的措施和计划5分； （2）工程勘察设计阶段、工程保修阶段服务阶段对协调各方关系与提供专业意见和建议有措施和计划（措施及计划等内容不完全适用项目或有缺项漏项但不影响项目实施）2分。 （3）未提供的不计分。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近三年内（2022年6月1日-至今）有类似项目业绩的，每份计2分，计满10分为止。注：业绩以中标通知书或合同为准，时间以中标通知书发出时间或合同签订时间为准。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印发《政府采购竞争性磋商采购方式管理暂行办法》的通知财库〔2014〕214号的有关规定：综合评分法中的价格分统一采用低价优先法计算，即满足磋商文件要求且最后报价最低的供应商的价格为磋商基准价，其价格分为满分。其他供应商的价格分统一按照下列公式计算： 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