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版本号：SKKKSYFGS2025-02520250707001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三原县北大街东大街历史文化街区基础设施提升项目—监理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SKKKSYFGS2025-025</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三原县北大街东大街历史文化街区基础设施提升项目—监理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SKKKSYFGS2025-025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三原县北大街东大街历史文化街区基础设施提升项目—监理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三原县北大街东大街历史文化街区基础设施提升项目，项目对三原县北大街、东大街进行环境提升改造，主要进行三原县北大街、东大街沿街建筑外立面改造，道路沿线附属设施建设及人行道翻新、路灯更换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采购包1（三原县北大街东大街历史文化街区基础设施提升项目监理）：属于专门面向中小企业采购。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2、公司资质：供应商须具备建设行政主管部门核发工程监理综合资质或市政公用工程监理乙级及以上资质；</w:t>
      </w:r>
    </w:p>
    <w:p>
      <w:pPr>
        <w:pStyle w:val="null3"/>
      </w:pPr>
      <w:r>
        <w:rPr>
          <w:rFonts w:ascii="仿宋_GB2312" w:hAnsi="仿宋_GB2312" w:cs="仿宋_GB2312" w:eastAsia="仿宋_GB2312"/>
        </w:rPr>
        <w:t>3、人员资质：拟派往本项目的总监理工程师必须为本企业注册的监理工程师，具备市政公用工程专业注册监理工程师资格，提供2024年06月至今至少1个月的供应商为其缴纳的社会保险的证明材料（五险一金提供一项即可），且未担任其它在建工程的总监理工程师，无不良信用记录</w:t>
      </w:r>
    </w:p>
    <w:p>
      <w:pPr>
        <w:pStyle w:val="null3"/>
      </w:pPr>
      <w:r>
        <w:rPr>
          <w:rFonts w:ascii="仿宋_GB2312" w:hAnsi="仿宋_GB2312" w:cs="仿宋_GB2312" w:eastAsia="仿宋_GB2312"/>
        </w:rPr>
        <w:t>4、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5、税收缴纳证明：提供开标截止时间前6个月内至少已缴纳1个月的完税证明，完税证明上应有代收机构或税务机关的公章或业务专用章。依法免税或新成立的供应商应提供相关文件证明；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6、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7、信用中国：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8、非联合体声明：本项目不接受联合体投标，单位负责人为同一人或者存在直接控股、管理关系的不同投标人，不得参加同一合同项下的政府采购活动（提供非联合体投标声明，包括控股管理声明）。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三原县住房和城乡建设局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703800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安海妮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13409103525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地址：陕西省咸阳市三原县城关镇冶金大道和平村华阳物流斜对面一号会议室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对三原县北大街东大街历史文化街区基础设施提升项目，项目对三原县北大街、东大街进行环境提升改造，主要进行三原县北大街、东大街沿街建筑外立面改造，道路沿线附属设施建设及人行道翻新、路灯更换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三原县北大街东大街历史文化街区基础设施提升项目—监理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标的名称：三原县北大街东大街历史文化街区基础设施提升项目—监理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本项目是对三原县北大街东大街历史文化街区基础设施提升项目，项目对三原县北大街、东大街进行环境提升改造，主要进行三原县北大街、东大街沿街建筑外立面改造，道路沿线附属设施建设及人行道翻新、路灯更换工程</w:t>
            </w:r>
          </w:p>
          <w:p>
            <w:pPr>
              <w:pStyle w:val="null3"/>
            </w:pPr>
            <w:r>
              <w:rPr>
                <w:rFonts w:ascii="仿宋_GB2312" w:hAnsi="仿宋_GB2312" w:cs="仿宋_GB2312" w:eastAsia="仿宋_GB2312"/>
                <w:sz w:val="18"/>
              </w:rPr>
              <w:t>二、施工组织设计与方案审查</w:t>
            </w:r>
          </w:p>
          <w:p>
            <w:pPr>
              <w:pStyle w:val="null3"/>
            </w:pPr>
            <w:r>
              <w:rPr>
                <w:rFonts w:ascii="仿宋_GB2312" w:hAnsi="仿宋_GB2312" w:cs="仿宋_GB2312" w:eastAsia="仿宋_GB2312"/>
                <w:sz w:val="18"/>
              </w:rPr>
              <w:t>1.总体要求：监理方需对施工单位提交的施工组织设计进行全面细致审查，确保其编审程序严格遵循相关规定。施工进度计划应契合施工合同中关于工期的明确约定，各阶段时间节点合理，关键线路清晰，且具备应对可能延误情况的预案。施工方案需详细且科学，涵盖施工方法、工艺流程、技术措施等内容，针对历史文化街区基础设施提升项目的特点，如涉及古建筑周边施工、地下管线复杂等情况，要有专项应对策略，保障工程质量符合高标准要求。</w:t>
            </w:r>
          </w:p>
          <w:p>
            <w:pPr>
              <w:pStyle w:val="null3"/>
            </w:pPr>
            <w:r>
              <w:rPr>
                <w:rFonts w:ascii="仿宋_GB2312" w:hAnsi="仿宋_GB2312" w:cs="仿宋_GB2312" w:eastAsia="仿宋_GB2312"/>
                <w:sz w:val="18"/>
              </w:rPr>
              <w:t>2.资源供应审查：资源供应计划包括资金、劳动力、材料、设备等方面。监理要审查资金使用计划是否合理，确保项目建设资金专款专用且满足各阶段施工需求。劳动力配备需根据工程进度合理安排工种和人数，施工人员应具备相应资质与经验，尤其是涉及古建筑修缮、特殊工艺施工的人员。材料供应计划要明确各类材料的进场时间、质量标准及检验方式，确保材料符合设计与规范要求。施工设备的型号、数量应满足施工强度，设备状况良好且具备定期维护计划。</w:t>
            </w:r>
          </w:p>
          <w:p>
            <w:pPr>
              <w:pStyle w:val="null3"/>
            </w:pPr>
            <w:r>
              <w:rPr>
                <w:rFonts w:ascii="仿宋_GB2312" w:hAnsi="仿宋_GB2312" w:cs="仿宋_GB2312" w:eastAsia="仿宋_GB2312"/>
                <w:sz w:val="18"/>
              </w:rPr>
              <w:t>3.安全与平面布置审查：安全技术措施必须严格符合工程建设强制性标准，涵盖施工现场安全防护、施工机械安全操作、临时用电安全等各个方面。对于可能出现的安全风险，如古建筑火灾风险、深基坑坍塌风险等，要有针对性的预防与应急措施。施工总平面布置应科学合理，考虑到历史文化街区的特殊性，施工场地的划分、材料堆放位置、临时设施搭建等要尽量减少对街区正常运营、居民生活以及古建筑保护的影响，同时满足施工便捷性要求。</w:t>
            </w:r>
          </w:p>
          <w:p>
            <w:pPr>
              <w:pStyle w:val="null3"/>
            </w:pPr>
            <w:r>
              <w:rPr>
                <w:rFonts w:ascii="仿宋_GB2312" w:hAnsi="仿宋_GB2312" w:cs="仿宋_GB2312" w:eastAsia="仿宋_GB2312"/>
                <w:sz w:val="18"/>
              </w:rPr>
              <w:t>三、工程质量控制技术要求</w:t>
            </w:r>
          </w:p>
          <w:p>
            <w:pPr>
              <w:pStyle w:val="null3"/>
            </w:pPr>
            <w:r>
              <w:rPr>
                <w:rFonts w:ascii="仿宋_GB2312" w:hAnsi="仿宋_GB2312" w:cs="仿宋_GB2312" w:eastAsia="仿宋_GB2312"/>
                <w:sz w:val="18"/>
              </w:rPr>
              <w:t>1.材料与构配件检验：所有用于项目的工程材料、构配件和设备在进场时，监理人员必须严格进行检验。对于主要材料，如建筑用钢材、水泥、木材、装饰材料等，除检查产品合格证、质量检验报告外，还需按规定进行抽样复检，复检合格后方可用于工程。对于构配件，如预制构件、门窗等，要检查其尺寸精度、外观质量及性能指标。对于设备，如电气设备、给排水设备等，要进行开箱检验，检查设备规格、型号、数量是否与合同一致，设备外观有无损坏，随机文件是否齐全，并按要求进行试运行测试。</w:t>
            </w:r>
          </w:p>
          <w:p>
            <w:pPr>
              <w:pStyle w:val="null3"/>
            </w:pPr>
            <w:r>
              <w:rPr>
                <w:rFonts w:ascii="仿宋_GB2312" w:hAnsi="仿宋_GB2312" w:cs="仿宋_GB2312" w:eastAsia="仿宋_GB2312"/>
                <w:sz w:val="18"/>
              </w:rPr>
              <w:t>2.隐蔽工程与关键工序监理：在施工过程中，对于隐蔽工程，如基础工程、地下管线铺设、古建筑内部结构加固等，监理人员必须进行旁站监理。在隐蔽前，施工单位应提前通知监理进行验收，监理人员要检查隐蔽工程的施工质量是否符合设计与规范要求，相关资料是否齐全。对于关键工序，如古建筑修缮中的墙体修复、屋面防水施工、街区道路基层处理等，监理要制定详细的监理细则，明确质量控制要点与检验标准，加强现场巡查与监督，确保每一道工序质量合格，上一道工序未经监理验收合格，不得进入下一道工序施工。</w:t>
            </w:r>
          </w:p>
          <w:p>
            <w:pPr>
              <w:pStyle w:val="null3"/>
            </w:pPr>
            <w:r>
              <w:rPr>
                <w:rFonts w:ascii="仿宋_GB2312" w:hAnsi="仿宋_GB2312" w:cs="仿宋_GB2312" w:eastAsia="仿宋_GB2312"/>
                <w:sz w:val="18"/>
              </w:rPr>
              <w:t>3.质量验收与检测：严格按照相关质量验收规范，对各分部分项工程进行质量验收。在施工单位自检合格的基础上，监理组织进行分项工程验收，对工程质量进行实测实量，检查工程质量是否符合验收标准。对于涉及结构安全和使用功能的重要分部工程，如主体结构工程、给排水系统工程、电气系统工程等，除进行常规验收外，还需按规定进行见证取样检测或第三方检测。例如，对主体结构混凝土强度进行回弹检测，对给排水管道进行压力试验、闭水试验，对电气线路进行绝缘电阻测试等，确保工程质量可靠。</w:t>
            </w:r>
          </w:p>
          <w:p>
            <w:pPr>
              <w:pStyle w:val="null3"/>
            </w:pPr>
            <w:r>
              <w:rPr>
                <w:rFonts w:ascii="仿宋_GB2312" w:hAnsi="仿宋_GB2312" w:cs="仿宋_GB2312" w:eastAsia="仿宋_GB2312"/>
                <w:sz w:val="18"/>
              </w:rPr>
              <w:t>四、安全与文明施工监理标准</w:t>
            </w:r>
          </w:p>
          <w:p>
            <w:pPr>
              <w:pStyle w:val="null3"/>
            </w:pPr>
            <w:r>
              <w:rPr>
                <w:rFonts w:ascii="仿宋_GB2312" w:hAnsi="仿宋_GB2312" w:cs="仿宋_GB2312" w:eastAsia="仿宋_GB2312"/>
                <w:sz w:val="18"/>
              </w:rPr>
              <w:t>1.安全制度与人员资质检查：监理要检查施工单位现场安全生产规章制度的建立与落实情况，包括安全生产责任制、安全教育培训制度、安全检查制度、安全事故应急预案等。施工单位安全生产许可证应合法有效，项目经理资格证、专职安全生产管理人员上岗证和特种作业人员操作证必须齐全且人证相符。监理定期对施工单位人员资质进行复查，确保施工过程中关键岗位人员具备相应安全管理与操作能力。</w:t>
            </w:r>
          </w:p>
          <w:p>
            <w:pPr>
              <w:pStyle w:val="null3"/>
            </w:pPr>
            <w:r>
              <w:rPr>
                <w:rFonts w:ascii="仿宋_GB2312" w:hAnsi="仿宋_GB2312" w:cs="仿宋_GB2312" w:eastAsia="仿宋_GB2312"/>
                <w:sz w:val="18"/>
              </w:rPr>
              <w:t>2.施工机械与设施安全管理：所有施工机械和设施在投入使用前，必须取得安全许可验收手续。监理要检查施工机械的定期维护保养记录，确保机械性能良好。对于特种设备，如塔吊、施工电梯、起重机等，要检查其安装、拆卸方案是否经过专家论证，安装完成后是否经有资质的检测机构检测合格。施工现场的临时用电系统要符合 “三相五线制” 要求，配电箱、开关箱设置规范，漏电保护装置灵敏可靠。对施工现场的安全防护设施，如安全帽、安全带、安全网、临边防护栏杆、洞口防护盖板等，监理要检查其质量与设置是否符合标准，确保施工人员的人身安全。</w:t>
            </w:r>
          </w:p>
          <w:p>
            <w:pPr>
              <w:pStyle w:val="null3"/>
            </w:pPr>
            <w:r>
              <w:rPr>
                <w:rFonts w:ascii="仿宋_GB2312" w:hAnsi="仿宋_GB2312" w:cs="仿宋_GB2312" w:eastAsia="仿宋_GB2312"/>
                <w:sz w:val="18"/>
              </w:rPr>
              <w:t>3.文明施工监督：鉴于项目位于历史文化街区，文明施工尤为重要。监理要监督施工单位采取有效措施减少施工对周边环境的影响，如施工现场设置围挡，减少扬尘、噪声污染，合理安排施工时间，避免在居民休息时间进行高噪声作业。施工场地内材料堆放整齐，建筑垃圾及时清理，保持施工现场整洁有序。同时，要尊重历史文化街区的文化氛围，在施工过程中注意保护周边古建筑、历史遗迹及文化景观，如有可能对其造成影响的施工行为，必须提前制定保护方案并经相关部门批准。</w:t>
            </w:r>
          </w:p>
          <w:p>
            <w:pPr>
              <w:pStyle w:val="null3"/>
            </w:pPr>
            <w:r>
              <w:rPr>
                <w:rFonts w:ascii="仿宋_GB2312" w:hAnsi="仿宋_GB2312" w:cs="仿宋_GB2312" w:eastAsia="仿宋_GB2312"/>
                <w:sz w:val="18"/>
              </w:rPr>
              <w:t>五、工程进度控制技术要点</w:t>
            </w:r>
          </w:p>
          <w:p>
            <w:pPr>
              <w:pStyle w:val="null3"/>
            </w:pPr>
            <w:r>
              <w:rPr>
                <w:rFonts w:ascii="仿宋_GB2312" w:hAnsi="仿宋_GB2312" w:cs="仿宋_GB2312" w:eastAsia="仿宋_GB2312"/>
                <w:sz w:val="18"/>
              </w:rPr>
              <w:t>1.进度计划审核：监理对施工单位提交的总进度计划和阶段性进度计划进行严格审核。进度计划中主要工程项目应无遗漏，满足分批投入使用或配套使用的需要，阶段性施工进度计划要与总进度控制目标紧密衔接。施工顺序的安排要符合施工工艺要求，避免出现工序颠倒或不合理交叉作业。施工人员、工程材料、施工机械等资源供应计划要与施工进度计划高度匹配，确保各项资源按时到位，为施工进度提供有力保障。</w:t>
            </w:r>
          </w:p>
          <w:p>
            <w:pPr>
              <w:pStyle w:val="null3"/>
            </w:pPr>
            <w:r>
              <w:rPr>
                <w:rFonts w:ascii="仿宋_GB2312" w:hAnsi="仿宋_GB2312" w:cs="仿宋_GB2312" w:eastAsia="仿宋_GB2312"/>
                <w:sz w:val="18"/>
              </w:rPr>
              <w:t>2.进度跟踪与调整：在项目实施过程中，监理定期对施工进度进行跟踪检查，对比实际进度与计划进度的差异。若发现实际进度滞后，监理及时分析原因，如因施工单位组织不力、资源投入不足等原因导致，监理要求施工单位采取有效措施进行调整，如增加施工人员、设备，优化施工方案，合理安排加班等。若因不可抗力、设计变更等非施工单位原因导致进度滞后，监理协助建设单位和施工单位协商解决方案，调整进度计划，并办理相关手续。监理定期向建设单位汇报工程进度情况，使建设单位及时掌握项目进展动态。</w:t>
            </w:r>
          </w:p>
          <w:p>
            <w:pPr>
              <w:pStyle w:val="null3"/>
            </w:pPr>
            <w:r>
              <w:rPr>
                <w:rFonts w:ascii="仿宋_GB2312" w:hAnsi="仿宋_GB2312" w:cs="仿宋_GB2312" w:eastAsia="仿宋_GB2312"/>
                <w:sz w:val="18"/>
              </w:rPr>
              <w:t>六、工程变更与合同管理技术要求</w:t>
            </w:r>
          </w:p>
          <w:p>
            <w:pPr>
              <w:pStyle w:val="null3"/>
            </w:pPr>
            <w:r>
              <w:rPr>
                <w:rFonts w:ascii="仿宋_GB2312" w:hAnsi="仿宋_GB2312" w:cs="仿宋_GB2312" w:eastAsia="仿宋_GB2312"/>
                <w:sz w:val="18"/>
              </w:rPr>
              <w:t>1.工程变更管理：对于施工过程中的工程变更，监理要严格按照规定程序进行管理。施工单位提出工程变更申请时，监理首先审查变更的必要性与合理性，分析变更对工程质量、进度、造价及安全的影响。若变更涉及设计文件修改，监理组织建设单位、设计单位、施工单位等相关方进行论证，经设计单位出具变更设计文件后，监理审核变更预算，报建设单位批准后方可实施。监理对工程变更的实施过程进行监督，确保变更内容按要求施工，做好变更工程的计量与计价工作，避免因工程变更引发不必要的纠纷。</w:t>
            </w:r>
          </w:p>
          <w:p>
            <w:pPr>
              <w:pStyle w:val="null3"/>
            </w:pPr>
            <w:r>
              <w:rPr>
                <w:rFonts w:ascii="仿宋_GB2312" w:hAnsi="仿宋_GB2312" w:cs="仿宋_GB2312" w:eastAsia="仿宋_GB2312"/>
                <w:sz w:val="18"/>
              </w:rPr>
              <w:t>2.合同管理：监理熟悉工程合同条款，对合同执行情况进行全程监督。在施工过程中，及时处理工程变更、索赔等合同执行问题。对于施工单位提出的索赔申请，监理认真审核索赔依据、索赔事件的真实性与时效性，按照合同约定公正地进行处理。监理定期对合同履行情况进行检查，督促建设单位和施工单位严格履行合同义务，确保合同目标的实现。如发现合同双方存在违约行为，监理及时进行协调，必要时协助双方通过协商、仲裁或诉讼等方式解决合同纠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365天，实际监理工期与实际工程工期同步,具体监理进场时间以采购人通知时间为准，完成委托监理以工程缺陷责任期满为止。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三原县北大街、东大街、西大街(部分)片区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符合项目要求及甲方要求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供应商须具备建设行政主管部门核发工程监理综合资质或市政公用工程监理乙级及以上资质；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人员资质</w:t>
            </w:r>
          </w:p>
        </w:tc>
        <w:tc>
          <w:tcPr>
            <w:tcW w:type="dxa" w:w="3322"/>
          </w:tcPr>
          <w:p>
            <w:pPr>
              <w:pStyle w:val="null3"/>
            </w:pPr>
            <w:r>
              <w:rPr>
                <w:rFonts w:ascii="仿宋_GB2312" w:hAnsi="仿宋_GB2312" w:cs="仿宋_GB2312" w:eastAsia="仿宋_GB2312"/>
              </w:rPr>
              <w:t>拟派往本项目的总监理工程师必须为本企业注册的监理工程师，具备市政公用工程专业注册监理工程师资格，提供2024年06月至今至少1个月的供应商为其缴纳的社会保险的证明材料（五险一金提供一项即可），且未担任其它在建工程的总监理工程师，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总监理工程师及监理部人员</w:t>
            </w:r>
          </w:p>
        </w:tc>
        <w:tc>
          <w:tcPr>
            <w:tcW w:type="dxa" w:w="2492"/>
          </w:tcPr>
          <w:p>
            <w:pPr>
              <w:pStyle w:val="null3"/>
            </w:pPr>
            <w:r>
              <w:rPr>
                <w:rFonts w:ascii="仿宋_GB2312" w:hAnsi="仿宋_GB2312" w:cs="仿宋_GB2312" w:eastAsia="仿宋_GB2312"/>
              </w:rPr>
              <w:t>（1）具备高级及以上工程师职称证书得4分，中级工程师职称证书得2分，其余不得分； （2）具备本科学历及以上学历得3分，专科学历得2分，其余不得分； （3）作为总监理工程师2022年至今承接过类似项目监理业绩，提供1项符合要求的业绩得3分。（提供监理中标通知书或监理合同复印件等证明材料，并加盖单位公章，须体现总监理工程师姓名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现场监理人员配备1</w:t>
            </w:r>
          </w:p>
        </w:tc>
        <w:tc>
          <w:tcPr>
            <w:tcW w:type="dxa" w:w="2492"/>
          </w:tcPr>
          <w:p>
            <w:pPr>
              <w:pStyle w:val="null3"/>
            </w:pPr>
            <w:r>
              <w:rPr>
                <w:rFonts w:ascii="仿宋_GB2312" w:hAnsi="仿宋_GB2312" w:cs="仿宋_GB2312" w:eastAsia="仿宋_GB2312"/>
              </w:rPr>
              <w:t>（1）项目监理部人员配备完全满足本项目各专业要求，人员专业安排科学、合理性、有针对性，得5分； （2）项目监理部人员配备基本满足本项目各专业要求，人员专业具有一定的排科学、合理性、针对性，得3分； （3）项目监理部人员配备基本满足本项目各专业要求，人员专业缺乏一定的排科学、合理性、针对性，得1分；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现场监理人员配备2</w:t>
            </w:r>
          </w:p>
        </w:tc>
        <w:tc>
          <w:tcPr>
            <w:tcW w:type="dxa" w:w="2492"/>
          </w:tcPr>
          <w:p>
            <w:pPr>
              <w:pStyle w:val="null3"/>
            </w:pPr>
            <w:r>
              <w:rPr>
                <w:rFonts w:ascii="仿宋_GB2312" w:hAnsi="仿宋_GB2312" w:cs="仿宋_GB2312" w:eastAsia="仿宋_GB2312"/>
              </w:rPr>
              <w:t>（1）监理部人员组成中具备高级职称的得1分，具备中级职称的计0.5分，最高得5分。注：提供相关人员证明材料的复印件并加盖单位公章。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针对本项目提供质量控制方案，内容包括但不限于①监理质量控制目标②质量控制体系③过程质量控制④质量验收流程⑤质量保障措施等内容，方案内容详细完整、针对性强、可行性高，符合项目实际 要求。总分5分， 每项满分1分，缺项不得分 , 每项内容存在缺陷，扣0.5分。缺陷是指内容不合理、虽有内容但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针对本项目提供进度控制方案，内容包括但不限于①进度控制目标②进度控制原则③进度控制计划④分级管理原则⑤监控计划等内容，方案内容详细完整、针对性强、可行性高，符合项目实际 要求。总分5分， 每项满分1分，缺项不得分 , 每项内容存在缺陷，扣0.5分。缺陷是指内容不合理、虽有内容但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造价控制方案</w:t>
            </w:r>
          </w:p>
        </w:tc>
        <w:tc>
          <w:tcPr>
            <w:tcW w:type="dxa" w:w="2492"/>
          </w:tcPr>
          <w:p>
            <w:pPr>
              <w:pStyle w:val="null3"/>
            </w:pPr>
            <w:r>
              <w:rPr>
                <w:rFonts w:ascii="仿宋_GB2312" w:hAnsi="仿宋_GB2312" w:cs="仿宋_GB2312" w:eastAsia="仿宋_GB2312"/>
              </w:rPr>
              <w:t>针对本项目提供造价控制方案，内容包括但不限于①造价控制目标②造价控原则③造价控制计划④造价风险分析⑤造价控制措施等内容，方案内容详细完整、针对性强、可行性高，符合项目实际要求。 总分5分，每项满分1分，缺项不得分 , 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文明施工、安全生产监督管理方案</w:t>
            </w:r>
          </w:p>
        </w:tc>
        <w:tc>
          <w:tcPr>
            <w:tcW w:type="dxa" w:w="2492"/>
          </w:tcPr>
          <w:p>
            <w:pPr>
              <w:pStyle w:val="null3"/>
            </w:pPr>
            <w:r>
              <w:rPr>
                <w:rFonts w:ascii="仿宋_GB2312" w:hAnsi="仿宋_GB2312" w:cs="仿宋_GB2312" w:eastAsia="仿宋_GB2312"/>
              </w:rPr>
              <w:t>针对本项目提供文明施工、安全生产监督管理方案，内容包括但不限于①责任体系构建②制度规范管控③现场措施监理④动态检查整改⑤应急联动处置措施等内容，方案内容详细完整、针对性强、可行性高，符合项目实际 要求。总分5分， 每项满分1分，缺项不得分 , 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合同、信息管理及协调方案</w:t>
            </w:r>
          </w:p>
        </w:tc>
        <w:tc>
          <w:tcPr>
            <w:tcW w:type="dxa" w:w="2492"/>
          </w:tcPr>
          <w:p>
            <w:pPr>
              <w:pStyle w:val="null3"/>
            </w:pPr>
            <w:r>
              <w:rPr>
                <w:rFonts w:ascii="仿宋_GB2312" w:hAnsi="仿宋_GB2312" w:cs="仿宋_GB2312" w:eastAsia="仿宋_GB2312"/>
              </w:rPr>
              <w:t>针对本项目提供合同、信息管理及协调方案，内容包括但不限于①合同全周期管控②信息标准化管理③多方协同协调机制④信息沟通与反馈⑤文档档案管理等内容，方案内容详细完整、针对性强、可行性高，符合项目实际 要求。总分5分， 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信息资料管理方案</w:t>
            </w:r>
          </w:p>
        </w:tc>
        <w:tc>
          <w:tcPr>
            <w:tcW w:type="dxa" w:w="2492"/>
          </w:tcPr>
          <w:p>
            <w:pPr>
              <w:pStyle w:val="null3"/>
            </w:pPr>
            <w:r>
              <w:rPr>
                <w:rFonts w:ascii="仿宋_GB2312" w:hAnsi="仿宋_GB2312" w:cs="仿宋_GB2312" w:eastAsia="仿宋_GB2312"/>
              </w:rPr>
              <w:t>针对本项目提供信息资料管理方案，内容包括但不限于①信息资料管理目标②信息资料管理原则③信息资料管理方法④资料归档与移交方案⑤资料管理监督与改进等内容，方案内容详细完整、针对性强、可行性高，符合项目实际 要求。总分5分， 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监理程序及工作制度</w:t>
            </w:r>
          </w:p>
        </w:tc>
        <w:tc>
          <w:tcPr>
            <w:tcW w:type="dxa" w:w="2492"/>
          </w:tcPr>
          <w:p>
            <w:pPr>
              <w:pStyle w:val="null3"/>
            </w:pPr>
            <w:r>
              <w:rPr>
                <w:rFonts w:ascii="仿宋_GB2312" w:hAnsi="仿宋_GB2312" w:cs="仿宋_GB2312" w:eastAsia="仿宋_GB2312"/>
              </w:rPr>
              <w:t>针对本项目提供监理程序及工作制度，内容包括但不限于①前期准备与规划程序②施工过程动态监理程序③协调与沟通工作制度④验收与交付监理程序⑤监理内部考核与责任制度等内容，方案内容详细完整、针对性强、可行性高，符合项目实际 要求。总分5分， 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旁站计划及措施</w:t>
            </w:r>
          </w:p>
        </w:tc>
        <w:tc>
          <w:tcPr>
            <w:tcW w:type="dxa" w:w="2492"/>
          </w:tcPr>
          <w:p>
            <w:pPr>
              <w:pStyle w:val="null3"/>
            </w:pPr>
            <w:r>
              <w:rPr>
                <w:rFonts w:ascii="仿宋_GB2312" w:hAnsi="仿宋_GB2312" w:cs="仿宋_GB2312" w:eastAsia="仿宋_GB2312"/>
              </w:rPr>
              <w:t>针对本项目提供旁站计划及措施，内容包括但不限于①旁站范围与计划编制②旁站人员资质与培训③全过程监督与记录规范④问题处理与联动机制⑤旁站成果分析与改进等内容，方案内容详细完整、针对性强、可行性高，符合项目实际要求。总分5分，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质保期内的监理服务措施</w:t>
            </w:r>
          </w:p>
        </w:tc>
        <w:tc>
          <w:tcPr>
            <w:tcW w:type="dxa" w:w="2492"/>
          </w:tcPr>
          <w:p>
            <w:pPr>
              <w:pStyle w:val="null3"/>
            </w:pPr>
            <w:r>
              <w:rPr>
                <w:rFonts w:ascii="仿宋_GB2312" w:hAnsi="仿宋_GB2312" w:cs="仿宋_GB2312" w:eastAsia="仿宋_GB2312"/>
              </w:rPr>
              <w:t>针对本项目提供质保期内的监理服务措施，内容包括但不限于①工程质量检查②缺陷整改追踪③变更管理④编写监理报告和记录⑤监督检查制度以及审查缺陷的修复方案等内容，方案内容详细完整、针对性强、可行性高，符合项目实际要求。总分5分，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治污减霾预控措施</w:t>
            </w:r>
          </w:p>
        </w:tc>
        <w:tc>
          <w:tcPr>
            <w:tcW w:type="dxa" w:w="2492"/>
          </w:tcPr>
          <w:p>
            <w:pPr>
              <w:pStyle w:val="null3"/>
            </w:pPr>
            <w:r>
              <w:rPr>
                <w:rFonts w:ascii="仿宋_GB2312" w:hAnsi="仿宋_GB2312" w:cs="仿宋_GB2312" w:eastAsia="仿宋_GB2312"/>
              </w:rPr>
              <w:t>针对本项目治污减霾预控措施，内容包括但不限于①预控目标②工作程序③方法及措施④问题处理⑤应急响应与长效管理等内容，方案内容详细完整、针对性强、可行性高，符合项目实际要求。总分5分，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监理设施</w:t>
            </w:r>
          </w:p>
        </w:tc>
        <w:tc>
          <w:tcPr>
            <w:tcW w:type="dxa" w:w="2492"/>
          </w:tcPr>
          <w:p>
            <w:pPr>
              <w:pStyle w:val="null3"/>
            </w:pPr>
            <w:r>
              <w:rPr>
                <w:rFonts w:ascii="仿宋_GB2312" w:hAnsi="仿宋_GB2312" w:cs="仿宋_GB2312" w:eastAsia="仿宋_GB2312"/>
              </w:rPr>
              <w:t>（1）常规办公设备、专业检测设备配备及适用性完全满足本项目实施的得5分; （2）常规办公设备、专业检测设备配备及适用性基本满足本项目实施的得3分；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相关服务</w:t>
            </w:r>
          </w:p>
        </w:tc>
        <w:tc>
          <w:tcPr>
            <w:tcW w:type="dxa" w:w="2492"/>
          </w:tcPr>
          <w:p>
            <w:pPr>
              <w:pStyle w:val="null3"/>
            </w:pPr>
            <w:r>
              <w:rPr>
                <w:rFonts w:ascii="仿宋_GB2312" w:hAnsi="仿宋_GB2312" w:cs="仿宋_GB2312" w:eastAsia="仿宋_GB2312"/>
              </w:rPr>
              <w:t>（1）工程勘察设计阶段、工程保修阶段服务阶段对协调各方关系与提供专业意见和建议有完整适用的措施和计划5分； （2）工程勘察设计阶段、工程保修阶段服务阶段对协调各方关系与提供专业意见和建议有措施和计划（措施及计划等内容不完全适用项目或有缺项漏项但不影响项目实施）2分。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近三年内（2022年6月1日-至今）有类似项目业绩的，每份计2分，计满10分为止。注：业绩以中标通知书或合同为准，时间以中标通知书发出时间或合同签订时间为准。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