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版本号：JYBL2025-01420250709001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三原职业技术教育中心培训基地操场改造(一期)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JYBL2025-014</w:t>
      </w:r>
      <w:r>
        <w:br/>
      </w:r>
      <w:r>
        <w:br/>
      </w:r>
      <w:r>
        <w:br/>
      </w:r>
    </w:p>
    <w:p>
      <w:pPr>
        <w:pStyle w:val="null3"/>
        <w:jc w:val="center"/>
        <w:outlineLvl w:val="2"/>
      </w:pPr>
      <w:r>
        <w:rPr>
          <w:rFonts w:ascii="仿宋_GB2312" w:hAnsi="仿宋_GB2312" w:cs="仿宋_GB2312" w:eastAsia="仿宋_GB2312"/>
          <w:sz w:val="28"/>
          <w:b/>
        </w:rPr>
        <w:t>三原县职业技术教育中心</w:t>
      </w:r>
    </w:p>
    <w:p>
      <w:pPr>
        <w:pStyle w:val="null3"/>
        <w:jc w:val="center"/>
        <w:outlineLvl w:val="2"/>
      </w:pPr>
      <w:r>
        <w:rPr>
          <w:rFonts w:ascii="仿宋_GB2312" w:hAnsi="仿宋_GB2312" w:cs="仿宋_GB2312" w:eastAsia="仿宋_GB2312"/>
          <w:sz w:val="28"/>
          <w:b/>
        </w:rPr>
        <w:t>陕西金扬博朗项目管理有限公司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陕西金扬博朗项目管理有限公司</w:t>
      </w:r>
      <w:r>
        <w:rPr>
          <w:rFonts w:ascii="仿宋_GB2312" w:hAnsi="仿宋_GB2312" w:cs="仿宋_GB2312" w:eastAsia="仿宋_GB2312"/>
        </w:rPr>
        <w:t>（以下简称“代理机构”）受</w:t>
      </w:r>
      <w:r>
        <w:rPr>
          <w:rFonts w:ascii="仿宋_GB2312" w:hAnsi="仿宋_GB2312" w:cs="仿宋_GB2312" w:eastAsia="仿宋_GB2312"/>
        </w:rPr>
        <w:t>三原县职业技术教育中心</w:t>
      </w:r>
      <w:r>
        <w:rPr>
          <w:rFonts w:ascii="仿宋_GB2312" w:hAnsi="仿宋_GB2312" w:cs="仿宋_GB2312" w:eastAsia="仿宋_GB2312"/>
        </w:rPr>
        <w:t>委托，拟对</w:t>
      </w:r>
      <w:r>
        <w:rPr>
          <w:rFonts w:ascii="仿宋_GB2312" w:hAnsi="仿宋_GB2312" w:cs="仿宋_GB2312" w:eastAsia="仿宋_GB2312"/>
        </w:rPr>
        <w:t>三原职业技术教育中心培训基地操场改造(一期)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JYBL2025-014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三原职业技术教育中心培训基地操场改造(一期)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三原县职业技术教育中心培训基地操场改造（一期）工程项目内容包括混凝土地面、电气、排水等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采购包1（三原县职业技术教育中心培训基地操场改造(一期)）：属于专门面向中小企业采购。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1、授权委托书：法定代表人直接参加投标的，须提供法定代表人身份证明、身份证复印件及原件；法定代表人授权代表参加投标的，须提供法定代表人授权委托书、身份证复印件及原件。</w:t>
      </w:r>
    </w:p>
    <w:p>
      <w:pPr>
        <w:pStyle w:val="null3"/>
      </w:pPr>
      <w:r>
        <w:rPr>
          <w:rFonts w:ascii="仿宋_GB2312" w:hAnsi="仿宋_GB2312" w:cs="仿宋_GB2312" w:eastAsia="仿宋_GB2312"/>
        </w:rPr>
        <w:t>2、营业执照等主体资格证明文件：供应商为合法注册的法人、其他组织或自然人，具有独立承担民事责任的能力，提供统一社会信用代码的营业执照等证明文件。</w:t>
      </w:r>
    </w:p>
    <w:p>
      <w:pPr>
        <w:pStyle w:val="null3"/>
      </w:pPr>
      <w:r>
        <w:rPr>
          <w:rFonts w:ascii="仿宋_GB2312" w:hAnsi="仿宋_GB2312" w:cs="仿宋_GB2312" w:eastAsia="仿宋_GB2312"/>
        </w:rPr>
        <w:t>3、项目经理：拟派往本项目的项目经理必须为本企业注册的建造师并提供社保缴纳证明，具备建筑工程专业二级及以上注册建造师执业资格和有效的安全生产考核合格证书(B证)，且未担任其它在建工程、无不良信用记录</w:t>
      </w:r>
    </w:p>
    <w:p>
      <w:pPr>
        <w:pStyle w:val="null3"/>
      </w:pPr>
      <w:r>
        <w:rPr>
          <w:rFonts w:ascii="仿宋_GB2312" w:hAnsi="仿宋_GB2312" w:cs="仿宋_GB2312" w:eastAsia="仿宋_GB2312"/>
        </w:rPr>
        <w:t>4、企业资格：供应商具备建设行政主管部门核发的建筑工程施工总承包三级及以上资质；具备有效的安全生产许可证，供应商可在“陕西省住房和城乡建设厅官网（http://js.shaanxi.gov.cn/）”可查询。</w:t>
      </w:r>
    </w:p>
    <w:p>
      <w:pPr>
        <w:pStyle w:val="null3"/>
      </w:pPr>
      <w:r>
        <w:rPr>
          <w:rFonts w:ascii="仿宋_GB2312" w:hAnsi="仿宋_GB2312" w:cs="仿宋_GB2312" w:eastAsia="仿宋_GB2312"/>
        </w:rPr>
        <w:t>5、财务状况：提供2024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p>
      <w:pPr>
        <w:pStyle w:val="null3"/>
      </w:pPr>
      <w:r>
        <w:rPr>
          <w:rFonts w:ascii="仿宋_GB2312" w:hAnsi="仿宋_GB2312" w:cs="仿宋_GB2312" w:eastAsia="仿宋_GB2312"/>
        </w:rPr>
        <w:t>6、税收：提供2024年6月至今至少一个月的纳税证明（以税务机关证明材料为准）或完税证明，依法免税的单位应提供相关证明材料</w:t>
      </w:r>
    </w:p>
    <w:p>
      <w:pPr>
        <w:pStyle w:val="null3"/>
      </w:pPr>
      <w:r>
        <w:rPr>
          <w:rFonts w:ascii="仿宋_GB2312" w:hAnsi="仿宋_GB2312" w:cs="仿宋_GB2312" w:eastAsia="仿宋_GB2312"/>
        </w:rPr>
        <w:t>7、社保：提供2024年6月至今已缴纳的至少一个月的社会保障资金缴存单据或社保机构开具的社会保险参保缴费情况证明，依法不需要缴纳社会保障资金的单位应提供相关证明材料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查询：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9、书面声明：参加政府采购活动前3年内，在经营活动中没有重大违法记录的书面声明；提供具有履行本合同所必需的设备和专业技术能力的声明；</w:t>
      </w:r>
    </w:p>
    <w:p>
      <w:pPr>
        <w:pStyle w:val="null3"/>
      </w:pPr>
      <w:r>
        <w:rPr>
          <w:rFonts w:ascii="仿宋_GB2312" w:hAnsi="仿宋_GB2312" w:cs="仿宋_GB2312" w:eastAsia="仿宋_GB2312"/>
        </w:rPr>
        <w:t>10、非联合体磋商及控股管理关系：本项目不接受联合体磋商，单位负责人为同一人或者存在直接控股、管理关系的不同供应商，不得参加同一合同项下的政府采购活动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三原县职业技术教育中心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三原县西阳镇街道南2000米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三原县职业技术教育中心经办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029-38005678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陕西金扬博朗项目管理有限公司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陕西省咸阳市市本级陕西省西咸新区沣西新城先河未来里大厦0811室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029-38005678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采购包1：1,897,542.00元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关于《招标代理服务收费管理暂行办法》（计价格[2002]1980号）、《国家发展改革委办公厅关于招标代理服务收费有关问题的通知》（发改价格[2003]857号）；《国家发展改革委关于降低部分建设项目收费标准规范收费行为等有关问题的通知》（发改价格[2011]534号）规定的标准，由成交供应商在领取《成交通知书》前直接支付给采购代理单位。</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三原县职业技术教育中心</w:t>
      </w:r>
      <w:r>
        <w:rPr>
          <w:rFonts w:ascii="仿宋_GB2312" w:hAnsi="仿宋_GB2312" w:cs="仿宋_GB2312" w:eastAsia="仿宋_GB2312"/>
        </w:rPr>
        <w:t>和</w:t>
      </w:r>
      <w:r>
        <w:rPr>
          <w:rFonts w:ascii="仿宋_GB2312" w:hAnsi="仿宋_GB2312" w:cs="仿宋_GB2312" w:eastAsia="仿宋_GB2312"/>
        </w:rPr>
        <w:t>陕西金扬博朗项目管理有限公司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三原县职业技术教育中心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陕西金扬博朗项目管理有限公司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三原县职业技术教育中心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陕西金扬博朗项目管理有限公司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陕西金扬博朗项目管理有限公司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陕西金扬博朗项目管理有限公司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陕西金扬博朗项目管理有限公司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联系电话：029-38005678</w:t>
      </w:r>
    </w:p>
    <w:p>
      <w:pPr>
        <w:pStyle w:val="null3"/>
      </w:pPr>
      <w:r>
        <w:rPr>
          <w:rFonts w:ascii="仿宋_GB2312" w:hAnsi="仿宋_GB2312" w:cs="仿宋_GB2312" w:eastAsia="仿宋_GB2312"/>
        </w:rPr>
        <w:t>地址：陕西省西咸新区沣西新城先河未来里大厦0811室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1,897,542.00</w:t>
      </w:r>
    </w:p>
    <w:p>
      <w:pPr>
        <w:pStyle w:val="null3"/>
      </w:pPr>
      <w:r>
        <w:rPr>
          <w:rFonts w:ascii="仿宋_GB2312" w:hAnsi="仿宋_GB2312" w:cs="仿宋_GB2312" w:eastAsia="仿宋_GB2312"/>
        </w:rPr>
        <w:t>采购包最高限价（元）: 1,897,542.00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三原县职业技术教育中心培训基地操场改造(一期)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1,897,542.00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标的名称：三原县职业技术教育中心培训基地操场改造(一期)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315"/>
            </w:pPr>
            <w:r>
              <w:rPr>
                <w:rFonts w:ascii="仿宋_GB2312" w:hAnsi="仿宋_GB2312" w:cs="仿宋_GB2312" w:eastAsia="仿宋_GB2312"/>
              </w:rPr>
              <w:t>工期：30日历天</w:t>
            </w:r>
          </w:p>
          <w:p>
            <w:pPr>
              <w:pStyle w:val="null3"/>
              <w:spacing w:after="315"/>
            </w:pPr>
            <w:r>
              <w:rPr>
                <w:rFonts w:ascii="仿宋_GB2312" w:hAnsi="仿宋_GB2312" w:cs="仿宋_GB2312" w:eastAsia="仿宋_GB2312"/>
              </w:rPr>
              <w:t>质量标准：达到国家现行行业验收规范“合格”标准</w:t>
            </w:r>
          </w:p>
          <w:p>
            <w:pPr>
              <w:pStyle w:val="null3"/>
            </w:pPr>
            <w:r>
              <w:rPr>
                <w:rFonts w:ascii="仿宋_GB2312" w:hAnsi="仿宋_GB2312" w:cs="仿宋_GB2312" w:eastAsia="仿宋_GB2312"/>
              </w:rPr>
              <w:t>工程量清单编制说明</w:t>
            </w:r>
          </w:p>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1、项目名称：三原县职业技术教育中心培训基地操场改造（一期）</w:t>
            </w:r>
          </w:p>
          <w:p>
            <w:pPr>
              <w:pStyle w:val="null3"/>
            </w:pPr>
            <w:r>
              <w:rPr>
                <w:rFonts w:ascii="仿宋_GB2312" w:hAnsi="仿宋_GB2312" w:cs="仿宋_GB2312" w:eastAsia="仿宋_GB2312"/>
              </w:rPr>
              <w:t>2、项目范围：室外路面拆除及垃圾外运、新做混凝土地面、围栏、铅球场地、沙坑、旗台、室外给排水、操场高杆灯等工程内容。</w:t>
            </w:r>
          </w:p>
          <w:p>
            <w:pPr>
              <w:pStyle w:val="null3"/>
            </w:pPr>
            <w:r>
              <w:rPr>
                <w:rFonts w:ascii="仿宋_GB2312" w:hAnsi="仿宋_GB2312" w:cs="仿宋_GB2312" w:eastAsia="仿宋_GB2312"/>
              </w:rPr>
              <w:t>3、建设地点：三原县职业技术教育中心培训基地</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1、《建设工程工程量清单计价规范》（GB50500-2008）、《陕西省建设工程工程量清单计价规则》（2009）；</w:t>
            </w:r>
          </w:p>
          <w:p>
            <w:pPr>
              <w:pStyle w:val="null3"/>
            </w:pPr>
            <w:r>
              <w:rPr>
                <w:rFonts w:ascii="仿宋_GB2312" w:hAnsi="仿宋_GB2312" w:cs="仿宋_GB2312" w:eastAsia="仿宋_GB2312"/>
              </w:rPr>
              <w:t>2、《陕西省建设工程工程量清单计价费率》（2009）及其他相关文件;</w:t>
            </w:r>
          </w:p>
          <w:p>
            <w:pPr>
              <w:pStyle w:val="null3"/>
            </w:pPr>
            <w:r>
              <w:rPr>
                <w:rFonts w:ascii="仿宋_GB2312" w:hAnsi="仿宋_GB2312" w:cs="仿宋_GB2312" w:eastAsia="仿宋_GB2312"/>
              </w:rPr>
              <w:t>3、税金及计价依据执行陕建发 [2019]45号文：陕西省住房和城乡建设厅关于调整陕西省建设工程计价依据的通知（2019年4月1日起执行）；</w:t>
            </w:r>
          </w:p>
          <w:p>
            <w:pPr>
              <w:pStyle w:val="null3"/>
            </w:pPr>
            <w:r>
              <w:rPr>
                <w:rFonts w:ascii="仿宋_GB2312" w:hAnsi="仿宋_GB2312" w:cs="仿宋_GB2312" w:eastAsia="仿宋_GB2312"/>
              </w:rPr>
              <w:t>4、措施费调整执行陕建发〔2019〕1246号文：陕西省住房和城乡建设厅关于发布我省落实建筑工人实名制管理计价依据的通知（2019年12月1日起执行）、陕建发[2017]270号文：《关于增加建设工程扬尘治理专项措施费及综合人工单价调整的通知》；</w:t>
            </w:r>
          </w:p>
          <w:p>
            <w:pPr>
              <w:pStyle w:val="null3"/>
            </w:pPr>
            <w:r>
              <w:rPr>
                <w:rFonts w:ascii="仿宋_GB2312" w:hAnsi="仿宋_GB2312" w:cs="仿宋_GB2312" w:eastAsia="仿宋_GB2312"/>
              </w:rPr>
              <w:t>5、规费调整执行陕建发[2020]1097号文：陕西省住房和城乡建设设厅关于建筑施工安全生产责任保险费用计价的通知（2020年9月1日起执行）；</w:t>
            </w:r>
          </w:p>
          <w:p>
            <w:pPr>
              <w:pStyle w:val="null3"/>
            </w:pPr>
            <w:r>
              <w:rPr>
                <w:rFonts w:ascii="仿宋_GB2312" w:hAnsi="仿宋_GB2312" w:cs="仿宋_GB2312" w:eastAsia="仿宋_GB2312"/>
              </w:rPr>
              <w:t>6、劳保费用执行陕建发[2021]1021号文：陕西省住房和城乡建设厅关于全省统一停止收缴建筑业劳保费用的通知（2021年3月15日起执行）；</w:t>
            </w:r>
          </w:p>
          <w:p>
            <w:pPr>
              <w:pStyle w:val="null3"/>
            </w:pPr>
            <w:r>
              <w:rPr>
                <w:rFonts w:ascii="仿宋_GB2312" w:hAnsi="仿宋_GB2312" w:cs="仿宋_GB2312" w:eastAsia="仿宋_GB2312"/>
              </w:rPr>
              <w:t>7、该项目无暂列金、无暂估价。</w:t>
            </w:r>
          </w:p>
          <w:p>
            <w:pPr>
              <w:pStyle w:val="null3"/>
            </w:pPr>
            <w:r>
              <w:rPr>
                <w:rFonts w:ascii="仿宋_GB2312" w:hAnsi="仿宋_GB2312" w:cs="仿宋_GB2312" w:eastAsia="仿宋_GB2312"/>
              </w:rPr>
              <w:t>三、本工程计价币种：人民币。</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提交纸质响应文件正本壹份、副本贰份、电子版壹份。2）纸质响应文件正副本分别胶装，标明供应商名称密封递交，递交截止时间同在线递交电子响应文件截止时间一致。3）若电子响应文件与纸质响应文件不一致的，以线上提交的电子响应文件为准。4）线下递交文件时间：同响应文件截止时间、开标时间一致。线下递交文件地点：陕西省西咸新区沣西新城先河未来里大厦0811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法定代表人直接参加投标的，须提供法定代表人身份证明、身份证复印件及原件；法定代表人授权代表参加投标的，须提供法定代表人授权委托书、身份证复印件及原件。</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供应商为合法注册的法人、其他组织或自然人，具有独立承担民事责任的能力，提供统一社会信用代码的营业执照等证明文件。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拟派往本项目的项目经理必须为本企业注册的建造师并提供社保缴纳证明，具备建筑工程专业二级及以上注册建造师执业资格和有效的安全生产考核合格证书(B证)，且未担任其它在建工程、无不良信用记录</w:t>
            </w:r>
          </w:p>
        </w:tc>
        <w:tc>
          <w:tcPr>
            <w:tcW w:type="dxa" w:w="1661"/>
          </w:tcPr>
          <w:p>
            <w:pPr>
              <w:pStyle w:val="null3"/>
            </w:pPr>
            <w:r>
              <w:rPr>
                <w:rFonts w:ascii="仿宋_GB2312" w:hAnsi="仿宋_GB2312" w:cs="仿宋_GB2312" w:eastAsia="仿宋_GB2312"/>
              </w:rPr>
              <w:t>项目管理机构组成表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供应商具备建设行政主管部门核发的建筑工程施工总承包三级及以上资质；具备有效的安全生产许可证，供应商可在“陕西省住房和城乡建设厅官网（http://js.shaanxi.gov.cn/）”可查询。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w:t>
            </w:r>
          </w:p>
        </w:tc>
        <w:tc>
          <w:tcPr>
            <w:tcW w:type="dxa" w:w="3322"/>
          </w:tcPr>
          <w:p>
            <w:pPr>
              <w:pStyle w:val="null3"/>
            </w:pPr>
            <w:r>
              <w:rPr>
                <w:rFonts w:ascii="仿宋_GB2312" w:hAnsi="仿宋_GB2312" w:cs="仿宋_GB2312" w:eastAsia="仿宋_GB2312"/>
              </w:rPr>
              <w:t>提供2024年6月至今至少一个月的纳税证明（以税务机关证明材料为准）或完税证明，依法免税的单位应提供相关证明材料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w:t>
            </w:r>
          </w:p>
        </w:tc>
        <w:tc>
          <w:tcPr>
            <w:tcW w:type="dxa" w:w="3322"/>
          </w:tcPr>
          <w:p>
            <w:pPr>
              <w:pStyle w:val="null3"/>
            </w:pPr>
            <w:r>
              <w:rPr>
                <w:rFonts w:ascii="仿宋_GB2312" w:hAnsi="仿宋_GB2312" w:cs="仿宋_GB2312" w:eastAsia="仿宋_GB2312"/>
              </w:rPr>
              <w:t>提供2024年6月至今已缴纳的至少一个月的社会保障资金缴存单据或社保机构开具的社会保险参保缴费情况证明，依法不需要缴纳社会保障资金的单位应提供相关证明材料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信誉查询</w:t>
            </w:r>
          </w:p>
        </w:tc>
        <w:tc>
          <w:tcPr>
            <w:tcW w:type="dxa" w:w="3322"/>
          </w:tcPr>
          <w:p>
            <w:pPr>
              <w:pStyle w:val="null3"/>
            </w:pPr>
            <w:r>
              <w:rPr>
                <w:rFonts w:ascii="仿宋_GB2312" w:hAnsi="仿宋_GB2312" w:cs="仿宋_GB2312" w:eastAsia="仿宋_GB2312"/>
              </w:rPr>
              <w:t>供应商不得为“中国执行信息公开网”网站（zxgk.court.gov.cn/shixin/）中列入失信被执行人和“信用中国”网站（www.creditchina.gov.cn/）列入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非联合体磋商及控股管理关系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法定代表人身份证明及法定代表人授权委托书.docx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施工组织设计.docx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对工程整体的规划及部署，表述清晰完整，施工部署是否符合实际，进行综合评审。 A.施工部署详尽，合理可行，逻辑清楚，针对性及可行性强，得（4-6]分； B.施工部署详尽，基本合理可行，逻辑基本清楚，针对性及可行性较强，得（2-4]分； C.施工部署较完善，有一定的逻辑性、针对性、可行性（0-2]分；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对工程整体有深刻认识，表述清晰完整，改造工程总体组织是否符合实际，具有可行的、施工方案进行综合评审。 A.方案详尽，合理可行，逻辑清楚，针对性及可行性强，得（7-10]分； B.方案详尽，基本合理可行，逻辑基本清楚，针对性及可行性较强，得（4-7]分； C.方案较完善，有一定的逻辑性、针对性、可行性（0-4]分； D.其他或未提供不得分。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施工进度计划与措施</w:t>
            </w:r>
          </w:p>
        </w:tc>
        <w:tc>
          <w:tcPr>
            <w:tcW w:type="dxa" w:w="2492"/>
          </w:tcPr>
          <w:p>
            <w:pPr>
              <w:pStyle w:val="null3"/>
            </w:pPr>
            <w:r>
              <w:rPr>
                <w:rFonts w:ascii="仿宋_GB2312" w:hAnsi="仿宋_GB2312" w:cs="仿宋_GB2312" w:eastAsia="仿宋_GB2312"/>
              </w:rPr>
              <w:t>根据工程情况，编制进度计划，对供应商提供的进度计划安排进行综合评审。 A.进度安排合理可行，各环节有序衔接，完全满足需求得（4-6]分； B.进度安排较合理，基本满足需求，得（2-4]分； C.进度安排合理性较差，对项目满足度较欠缺得（0-2]分；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质量目标是否明确、通病治理措施是否有效，是否有完善健全的质量保证体系和防治措施进行综合评审。 A.质量目标明确、通病治理措施有效，有完善健全的质量保证体系和防治措施的得（4-6]分； B.质量目标清晰、通病治理措施一般，质量保证体系和防治措施基本满足采购需求的得（2-4]分； C.质量目标不清晰、没有通病治理措施，质量保证体系和防治措施差的得（0-2]分；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安全文明施工及环境保护措施</w:t>
            </w:r>
          </w:p>
        </w:tc>
        <w:tc>
          <w:tcPr>
            <w:tcW w:type="dxa" w:w="2492"/>
          </w:tcPr>
          <w:p>
            <w:pPr>
              <w:pStyle w:val="null3"/>
            </w:pPr>
            <w:r>
              <w:rPr>
                <w:rFonts w:ascii="仿宋_GB2312" w:hAnsi="仿宋_GB2312" w:cs="仿宋_GB2312" w:eastAsia="仿宋_GB2312"/>
              </w:rPr>
              <w:t>依据供应商对施工过程中采取的安全、环保、文明等措施进行综合评审。 A.安全、环保、文明等方案措施全面，能确保本项目顺利进行的得（5-8]分； B.安全、环保、文明等方案措施一般，基本满足本项目需求的得（2-5]分； C.安全、环保、文明等方案措施较差，不能确保本项目顺利进行的得（0-2]分； D.其他或未提供不得分。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项目经理部的组成与职责</w:t>
            </w:r>
          </w:p>
        </w:tc>
        <w:tc>
          <w:tcPr>
            <w:tcW w:type="dxa" w:w="2492"/>
          </w:tcPr>
          <w:p>
            <w:pPr>
              <w:pStyle w:val="null3"/>
            </w:pPr>
            <w:r>
              <w:rPr>
                <w:rFonts w:ascii="仿宋_GB2312" w:hAnsi="仿宋_GB2312" w:cs="仿宋_GB2312" w:eastAsia="仿宋_GB2312"/>
              </w:rPr>
              <w:t>项目机构人员配备合理，岗位职责明确，能够根据本项目的实际需求提供专业全面的技术服务人员，有具体的人员明细表，包括姓名、岗位及专业证书等内容。 A.项目机构人员架构清晰、职责明确、安排合理、专业性强的得（4-6]分； B.项目机构人员架构清晰，职责明确，提供的专业人员基本满足本项目的实际需求，分工较合理的得（2-4]分； C.项目机构配备差、专业服务人员少、不符合项目整体需求，不能使项目正常运作的得（0-2]分； D.其他或未提供不得分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设备设施及辅助设施情况</w:t>
            </w:r>
          </w:p>
        </w:tc>
        <w:tc>
          <w:tcPr>
            <w:tcW w:type="dxa" w:w="2492"/>
          </w:tcPr>
          <w:p>
            <w:pPr>
              <w:pStyle w:val="null3"/>
            </w:pPr>
            <w:r>
              <w:rPr>
                <w:rFonts w:ascii="仿宋_GB2312" w:hAnsi="仿宋_GB2312" w:cs="仿宋_GB2312" w:eastAsia="仿宋_GB2312"/>
              </w:rPr>
              <w:t>根据项目拟使用的设备、辅助设施是否完备，是否满足本项目需求进行综合评审。 A.设备、辅助设施提供完善的得（3-5]分； B.设备、辅助设施提供基本完善的得（1-3]分； C.设备、辅助设施提供不完善的得（0-1]分； D.其他或未提供不得分。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劳动力保障措施</w:t>
            </w:r>
          </w:p>
        </w:tc>
        <w:tc>
          <w:tcPr>
            <w:tcW w:type="dxa" w:w="2492"/>
          </w:tcPr>
          <w:p>
            <w:pPr>
              <w:pStyle w:val="null3"/>
            </w:pPr>
            <w:r>
              <w:rPr>
                <w:rFonts w:ascii="仿宋_GB2312" w:hAnsi="仿宋_GB2312" w:cs="仿宋_GB2312" w:eastAsia="仿宋_GB2312"/>
              </w:rPr>
              <w:t>针对本项目的劳动力保障措施进行综合评审。 A.劳动力安排科学合理的得（3-5]分； B.劳动力安排基本可行的得（1-3]分； C.劳动力安排较差的得（0-1]分； D.其他或未提供不得分。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根据供应商提供的重难点分析情况进行综合评审。 A.对本项目重难点认识深刻，表述全面准确，可操作性强得（7-10]分； B.重难点表述较全面、较准确，可操作性较强得（4-7]分； C.重难点表述不全面、可操作性差得（0-4]分； D.其他或未提供不得分。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2022年1月1日以来供应商有类似项目业绩的，每有一份得2分，最多得8分。 备注：投标人须提供合同文本复印件，合同复印件须包括合同首页、合同标的页、合同金额所在页、签字盖章页并加盖公章。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 即满足磋商文件要求且最后磋商报价最低的报价为评审基准价，其价格分为满分。其他供应商的价格 分统一按照下列公式计算：磋商报价得分=【评审基准价/磋商报价( 最终二次报价）】×30；2、本项目专门面向中小企业采购，不再执行价格评审优惠扶持政策。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详见附件：法定代表人身份证明及法定代表人授权委托书.docx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