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版本号：SXKKSYFGS2025-03120250812001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三原县2025年美丽农村公路绿化提升工程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SXKKSYFGS2025-031</w:t>
      </w:r>
      <w:r>
        <w:br/>
      </w:r>
      <w:r>
        <w:br/>
      </w:r>
      <w:r>
        <w:br/>
      </w:r>
    </w:p>
    <w:p>
      <w:pPr>
        <w:pStyle w:val="null3"/>
        <w:jc w:val="center"/>
        <w:outlineLvl w:val="2"/>
      </w:pPr>
      <w:r>
        <w:rPr>
          <w:rFonts w:ascii="仿宋_GB2312" w:hAnsi="仿宋_GB2312" w:cs="仿宋_GB2312" w:eastAsia="仿宋_GB2312"/>
          <w:sz w:val="28"/>
          <w:b/>
        </w:rPr>
        <w:t>三原县农村公路管理站</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三原县农村公路管理站</w:t>
      </w:r>
      <w:r>
        <w:rPr>
          <w:rFonts w:ascii="仿宋_GB2312" w:hAnsi="仿宋_GB2312" w:cs="仿宋_GB2312" w:eastAsia="仿宋_GB2312"/>
        </w:rPr>
        <w:t>委托，拟对</w:t>
      </w:r>
      <w:r>
        <w:rPr>
          <w:rFonts w:ascii="仿宋_GB2312" w:hAnsi="仿宋_GB2312" w:cs="仿宋_GB2312" w:eastAsia="仿宋_GB2312"/>
        </w:rPr>
        <w:t>三原县2025年美丽农村公路绿化提升工程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SXKKSYFGS2025-031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三原县2025年美丽农村公路绿化提升工程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为确保我县农村公路安全畅通，提升我县农村公路通行水平。我站现拟实施三原县美丽农村公路绿化提升工程，包含 新蒲路（4.710km）、蒲红路（10.092Km）及新照路（7.297Km），路线全长22.099公里，主要实施：提升现有绿 化的整体效果，对缺失的绿化进行补植，对无绿化路段新增，为丰富路侧环境，沿线增加宣传牌及绿化节点等，同时完善 修复部分安防及排水设施。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采购包1（三原县2025年美丽农村公路绿化提升工程）：属于专门面向中小企业采购。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1、公司资质要求：具备行政主管部门核发的公路工程施工总承包 三级及以上（含三级）资质。具备有效的安全生产许可证。</w:t>
      </w:r>
    </w:p>
    <w:p>
      <w:pPr>
        <w:pStyle w:val="null3"/>
      </w:pPr>
      <w:r>
        <w:rPr>
          <w:rFonts w:ascii="仿宋_GB2312" w:hAnsi="仿宋_GB2312" w:cs="仿宋_GB2312" w:eastAsia="仿宋_GB2312"/>
        </w:rPr>
        <w:t>2、项目经理要求：拟派往本项目的项目经理必须为本企业注册的建造师，具备公路工程专业二级及以上注册建造师执业资格和有效的安全生产考核合格证书(B证)，提供2024年7月至今至少一个月供应商为其缴纳的社会保险的证明材料（五险一金提供一项即可），且未担任其它在建工程的项目经理；</w:t>
      </w:r>
    </w:p>
    <w:p>
      <w:pPr>
        <w:pStyle w:val="null3"/>
      </w:pPr>
      <w:r>
        <w:rPr>
          <w:rFonts w:ascii="仿宋_GB2312" w:hAnsi="仿宋_GB2312" w:cs="仿宋_GB2312" w:eastAsia="仿宋_GB2312"/>
        </w:rPr>
        <w:t>3、财务状况报告：提供2023年度或2024年度经审计的财务报告（成立时间至提交响应文件截止时间不足一年的可提供成立后任意时段的资产负债表），或其开标前三个月内银行出具的资信证明，（以上两种形式的资料提供任何一种即可）</w:t>
      </w:r>
    </w:p>
    <w:p>
      <w:pPr>
        <w:pStyle w:val="null3"/>
      </w:pPr>
      <w:r>
        <w:rPr>
          <w:rFonts w:ascii="仿宋_GB2312" w:hAnsi="仿宋_GB2312" w:cs="仿宋_GB2312" w:eastAsia="仿宋_GB2312"/>
        </w:rPr>
        <w:t>4、税收缴纳证明：提供开标截止时间前6个月内至少已缴纳1个月的完税证明，完税证明上应有代收机构或税务机关的公章或业务专用章。依法免税或新成立的供应商应提供相关文件证明</w:t>
      </w:r>
    </w:p>
    <w:p>
      <w:pPr>
        <w:pStyle w:val="null3"/>
      </w:pPr>
      <w:r>
        <w:rPr>
          <w:rFonts w:ascii="仿宋_GB2312" w:hAnsi="仿宋_GB2312" w:cs="仿宋_GB2312" w:eastAsia="仿宋_GB2312"/>
        </w:rPr>
        <w:t>5、社会保障资金缴纳证明：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p>
      <w:pPr>
        <w:pStyle w:val="null3"/>
      </w:pPr>
      <w:r>
        <w:rPr>
          <w:rFonts w:ascii="仿宋_GB2312" w:hAnsi="仿宋_GB2312" w:cs="仿宋_GB2312" w:eastAsia="仿宋_GB2312"/>
        </w:rPr>
        <w:t>6、信用中国：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7、非联合体声明：本项目不接受联合体投标，单位负责人为同一人或者存在直接控股、管理关系的不同投标人，不得参加同一合同项下的政府采购活动（提供非联合体投标声明，包括控股管理声明）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三原县城关镇三里店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029-32316365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陕西省西安市未央区萧家北巷文景尚品12楼1218室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采购包1：2,345,574.86元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 ，由成交供应商支付采购代理服务费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三原县农村公路管理站</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三原县农村公路管理站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地址：陕西省咸阳市三原县城关街道办事处冶金大道和平村华阳物流斜对面一号会议室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2,345,574.86</w:t>
      </w:r>
    </w:p>
    <w:p>
      <w:pPr>
        <w:pStyle w:val="null3"/>
      </w:pPr>
      <w:r>
        <w:rPr>
          <w:rFonts w:ascii="仿宋_GB2312" w:hAnsi="仿宋_GB2312" w:cs="仿宋_GB2312" w:eastAsia="仿宋_GB2312"/>
        </w:rPr>
        <w:t>采购包最高限价（元）: 2,345,574.86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 xml:space="preserve"> 公路工程施工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2,345,574.86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一、绿化植物相关参数</w:t>
            </w:r>
          </w:p>
          <w:p>
            <w:pPr>
              <w:pStyle w:val="null3"/>
              <w:ind w:firstLine="420"/>
              <w:jc w:val="both"/>
            </w:pPr>
            <w:r>
              <w:rPr>
                <w:rFonts w:ascii="仿宋_GB2312" w:hAnsi="仿宋_GB2312" w:cs="仿宋_GB2312" w:eastAsia="仿宋_GB2312"/>
                <w:sz w:val="21"/>
              </w:rPr>
              <w:t>补植及新增乔木：严格遵循相关绿化规范，选用适宜本地生长环境的乡土树种。所选树种应具备树形端正、生长态势良好、无明显病虫害侵袭迹象等特点。栽植后，要符合绿化工程对成活率的要求，在后续养护阶段，也能依据养护规范，保持稳定生长，符合长期绿化景观效果的相关规定。</w:t>
            </w:r>
          </w:p>
          <w:p>
            <w:pPr>
              <w:pStyle w:val="null3"/>
              <w:ind w:firstLine="420"/>
              <w:jc w:val="both"/>
            </w:pPr>
            <w:r>
              <w:rPr>
                <w:rFonts w:ascii="仿宋_GB2312" w:hAnsi="仿宋_GB2312" w:cs="仿宋_GB2312" w:eastAsia="仿宋_GB2312"/>
                <w:sz w:val="21"/>
              </w:rPr>
              <w:t>补植及新增灌木：按照植物配置的相关规范，挑选适合当地气候与土壤条件的品种。植株要求株型规整，根系完整无损，以保障种植后的成活率符合行业标准。在养护期间，依据绿化养护法规，维持良好的生长状态，确保景观效果持久稳定。</w:t>
            </w:r>
          </w:p>
          <w:p>
            <w:pPr>
              <w:pStyle w:val="null3"/>
              <w:ind w:firstLine="420"/>
              <w:jc w:val="both"/>
            </w:pPr>
            <w:r>
              <w:rPr>
                <w:rFonts w:ascii="仿宋_GB2312" w:hAnsi="仿宋_GB2312" w:cs="仿宋_GB2312" w:eastAsia="仿宋_GB2312"/>
                <w:sz w:val="21"/>
              </w:rPr>
              <w:t>地被及花草：根据绿化设计规范，选择适应性强、能良好覆盖地表的种类。生长过程中，需达到覆盖均匀的效果，花期持续时间应符合相关景观营造的要求，遵循绿化景观多样性与持续性的法规准则。</w:t>
            </w:r>
          </w:p>
          <w:p>
            <w:pPr>
              <w:pStyle w:val="null3"/>
              <w:ind w:firstLine="420"/>
              <w:jc w:val="both"/>
            </w:pPr>
            <w:r>
              <w:rPr>
                <w:rFonts w:ascii="仿宋_GB2312" w:hAnsi="仿宋_GB2312" w:cs="仿宋_GB2312" w:eastAsia="仿宋_GB2312"/>
                <w:sz w:val="21"/>
              </w:rPr>
              <w:t>二、宣传牌参数</w:t>
            </w:r>
          </w:p>
          <w:p>
            <w:pPr>
              <w:pStyle w:val="null3"/>
              <w:ind w:firstLine="420"/>
              <w:jc w:val="both"/>
            </w:pPr>
            <w:r>
              <w:rPr>
                <w:rFonts w:ascii="仿宋_GB2312" w:hAnsi="仿宋_GB2312" w:cs="仿宋_GB2312" w:eastAsia="仿宋_GB2312"/>
                <w:sz w:val="21"/>
              </w:rPr>
              <w:t>材质：采用符合户外设施材质标准的板材，板材厚度需满足相关安全与耐用要求。进行表面防腐处理时，涂层附着性能要符合相应的质量规范，以确保在户外环境下长期使用。</w:t>
            </w:r>
          </w:p>
          <w:p>
            <w:pPr>
              <w:pStyle w:val="null3"/>
              <w:ind w:firstLine="420"/>
              <w:jc w:val="both"/>
            </w:pPr>
            <w:r>
              <w:rPr>
                <w:rFonts w:ascii="仿宋_GB2312" w:hAnsi="仿宋_GB2312" w:cs="仿宋_GB2312" w:eastAsia="仿宋_GB2312"/>
                <w:sz w:val="21"/>
              </w:rPr>
              <w:t>尺寸：主宣传牌与辅助宣传牌的尺寸，依据道路周边环境、可视距离等规范要求，设计得合理恰当，实际制作尺寸与设计尺寸的偏差控制在规范允许的极小范围内。</w:t>
            </w:r>
          </w:p>
          <w:p>
            <w:pPr>
              <w:pStyle w:val="null3"/>
              <w:ind w:firstLine="420"/>
              <w:jc w:val="both"/>
            </w:pPr>
            <w:r>
              <w:rPr>
                <w:rFonts w:ascii="仿宋_GB2312" w:hAnsi="仿宋_GB2312" w:cs="仿宋_GB2312" w:eastAsia="仿宋_GB2312"/>
                <w:sz w:val="21"/>
              </w:rPr>
              <w:t>内容印刷：印刷工艺需遵循广告印刷相关规范，保证画面清晰、色彩鲜明持久。在耐户外环境影响方面，符合相关的抗老化、抗褪色标准，使宣传牌内容在规定时间内保持良好展示效果。</w:t>
            </w:r>
          </w:p>
          <w:p>
            <w:pPr>
              <w:pStyle w:val="null3"/>
              <w:ind w:firstLine="420"/>
              <w:jc w:val="both"/>
            </w:pPr>
            <w:r>
              <w:rPr>
                <w:rFonts w:ascii="仿宋_GB2312" w:hAnsi="仿宋_GB2312" w:cs="仿宋_GB2312" w:eastAsia="仿宋_GB2312"/>
                <w:sz w:val="21"/>
              </w:rPr>
              <w:t>安装：安装基础的建设严格依照建筑基础施工规范，确保牢固稳定。安装完成后的宣传牌，其稳定性、垂直度等指标符合安全规范，具备抵抗一定风力等级的能力，符合户外设施抗风安全标准。</w:t>
            </w:r>
          </w:p>
          <w:p>
            <w:pPr>
              <w:pStyle w:val="null3"/>
              <w:ind w:firstLine="420"/>
              <w:jc w:val="both"/>
            </w:pPr>
            <w:r>
              <w:rPr>
                <w:rFonts w:ascii="仿宋_GB2312" w:hAnsi="仿宋_GB2312" w:cs="仿宋_GB2312" w:eastAsia="仿宋_GB2312"/>
                <w:sz w:val="21"/>
              </w:rPr>
              <w:t>三、绿化节点参数</w:t>
            </w:r>
          </w:p>
          <w:p>
            <w:pPr>
              <w:pStyle w:val="null3"/>
              <w:ind w:firstLine="420"/>
              <w:jc w:val="both"/>
            </w:pPr>
            <w:r>
              <w:rPr>
                <w:rFonts w:ascii="仿宋_GB2312" w:hAnsi="仿宋_GB2312" w:cs="仿宋_GB2312" w:eastAsia="仿宋_GB2312"/>
                <w:sz w:val="21"/>
              </w:rPr>
              <w:t>节点面积：绿化节点面积的确定，参考道路绿化设计规范中关于空间利用与景观营造的要求，大小适中。形状设计紧密结合路段实际地形、周边环境等因素，充分考虑美观与实用功能，符合景观设计的相关法规与审美标准。</w:t>
            </w:r>
          </w:p>
          <w:p>
            <w:pPr>
              <w:pStyle w:val="null3"/>
              <w:ind w:firstLine="420"/>
              <w:jc w:val="both"/>
            </w:pPr>
            <w:r>
              <w:rPr>
                <w:rFonts w:ascii="仿宋_GB2312" w:hAnsi="仿宋_GB2312" w:cs="仿宋_GB2312" w:eastAsia="仿宋_GB2312"/>
                <w:sz w:val="21"/>
              </w:rPr>
              <w:t>植物配置：依据植物配置的相关规范，合理搭配乔灌草，实现较高的植被覆盖度。通过科学搭配不同植物品种，展现出符合季节变化规律的景观效果，遵循生态景观设计的相关法规要求。</w:t>
            </w:r>
          </w:p>
          <w:p>
            <w:pPr>
              <w:pStyle w:val="null3"/>
              <w:ind w:firstLine="420"/>
              <w:jc w:val="both"/>
            </w:pPr>
            <w:r>
              <w:rPr>
                <w:rFonts w:ascii="仿宋_GB2312" w:hAnsi="仿宋_GB2312" w:cs="仿宋_GB2312" w:eastAsia="仿宋_GB2312"/>
                <w:sz w:val="21"/>
              </w:rPr>
              <w:t>景观小品：根据景观小品设置的相关规定，合理配置景观石、小型雕塑等小品。体量设计考虑周边环境协调性，材质选用遵循耐用、易维护且符合环保规范的原则，保障小品长期稳定存在且对环境无不良影响。</w:t>
            </w:r>
          </w:p>
          <w:p>
            <w:pPr>
              <w:pStyle w:val="null3"/>
              <w:ind w:firstLine="420"/>
              <w:jc w:val="both"/>
            </w:pPr>
            <w:r>
              <w:rPr>
                <w:rFonts w:ascii="仿宋_GB2312" w:hAnsi="仿宋_GB2312" w:cs="仿宋_GB2312" w:eastAsia="仿宋_GB2312"/>
                <w:sz w:val="21"/>
              </w:rPr>
              <w:t>四、安防设施参数</w:t>
            </w:r>
          </w:p>
          <w:p>
            <w:pPr>
              <w:pStyle w:val="null3"/>
              <w:ind w:firstLine="420"/>
              <w:jc w:val="both"/>
            </w:pPr>
            <w:r>
              <w:rPr>
                <w:rFonts w:ascii="仿宋_GB2312" w:hAnsi="仿宋_GB2312" w:cs="仿宋_GB2312" w:eastAsia="仿宋_GB2312"/>
                <w:sz w:val="21"/>
              </w:rPr>
              <w:t>波形护栏：波形护栏所采用的材料规格，严格符合交通安全设施的相关标准要求。护栏的高度、立柱间距等设置，依据道路等级、交通流量等因素，按照相应规范确定，具备充足的抗冲击能力，符合交通安全防护的规范指标。</w:t>
            </w:r>
          </w:p>
          <w:p>
            <w:pPr>
              <w:pStyle w:val="null3"/>
              <w:ind w:firstLine="420"/>
              <w:jc w:val="both"/>
            </w:pPr>
            <w:r>
              <w:rPr>
                <w:rFonts w:ascii="仿宋_GB2312" w:hAnsi="仿宋_GB2312" w:cs="仿宋_GB2312" w:eastAsia="仿宋_GB2312"/>
                <w:sz w:val="21"/>
              </w:rPr>
              <w:t>交通标志：交通标志的材质必须达到交通安全设施规定的标准，反光效果要符合道路照明与交通安全的相关规范，以保障夜间及低能见度条件下的可视性。标志杆的焊接质量，遵循金属焊接工艺的相关规范，确保结构稳固安全。</w:t>
            </w:r>
          </w:p>
          <w:p>
            <w:pPr>
              <w:pStyle w:val="null3"/>
              <w:ind w:firstLine="420"/>
              <w:jc w:val="both"/>
            </w:pPr>
            <w:r>
              <w:rPr>
                <w:rFonts w:ascii="仿宋_GB2312" w:hAnsi="仿宋_GB2312" w:cs="仿宋_GB2312" w:eastAsia="仿宋_GB2312"/>
                <w:sz w:val="21"/>
              </w:rPr>
              <w:t>减速带：减速带采用符合安全设施材质要求的材料，尺寸设计符合车辆行驶安全与减速效果的相关规范。强度方面，满足车辆频繁碾压的使用要求，安装过程严格按照施工规范执行，确保稳固可靠，符合交通安全设施的安装标准。</w:t>
            </w:r>
          </w:p>
          <w:p>
            <w:pPr>
              <w:pStyle w:val="null3"/>
              <w:ind w:firstLine="420"/>
              <w:jc w:val="both"/>
            </w:pPr>
            <w:r>
              <w:rPr>
                <w:rFonts w:ascii="仿宋_GB2312" w:hAnsi="仿宋_GB2312" w:cs="仿宋_GB2312" w:eastAsia="仿宋_GB2312"/>
                <w:sz w:val="21"/>
              </w:rPr>
              <w:t>五、排水设施参数</w:t>
            </w:r>
          </w:p>
          <w:p>
            <w:pPr>
              <w:pStyle w:val="null3"/>
              <w:ind w:firstLine="420"/>
              <w:jc w:val="both"/>
            </w:pPr>
            <w:r>
              <w:rPr>
                <w:rFonts w:ascii="仿宋_GB2312" w:hAnsi="仿宋_GB2312" w:cs="仿宋_GB2312" w:eastAsia="仿宋_GB2312"/>
                <w:sz w:val="21"/>
              </w:rPr>
              <w:t>边沟：边沟的浇筑材料选取符合道路排水工程相关规范的材料。截面形状与尺寸设计，依据道路汇水面积、坡度等因素，按照排水设计规范确定，以保障排水过程顺畅，符合排水能力的相关标准。</w:t>
            </w:r>
          </w:p>
          <w:p>
            <w:pPr>
              <w:pStyle w:val="null3"/>
              <w:ind w:firstLine="420"/>
              <w:jc w:val="both"/>
            </w:pPr>
            <w:r>
              <w:rPr>
                <w:rFonts w:ascii="仿宋_GB2312" w:hAnsi="仿宋_GB2312" w:cs="仿宋_GB2312" w:eastAsia="仿宋_GB2312"/>
                <w:sz w:val="21"/>
              </w:rPr>
              <w:t>涵洞：涵洞的结构设计与材质选用，严格遵循涵洞工程建设的相关规范与标准。涵洞的孔径、壁厚等尺寸，根据道路排水需求、地质条件等因素确定，与周边排水系统的衔接符合排水系统连贯性的规范要求，确保排水通畅。</w:t>
            </w:r>
          </w:p>
          <w:p>
            <w:pPr>
              <w:pStyle w:val="null3"/>
              <w:jc w:val="both"/>
            </w:pPr>
            <w:r>
              <w:rPr>
                <w:rFonts w:ascii="仿宋_GB2312" w:hAnsi="仿宋_GB2312" w:cs="仿宋_GB2312" w:eastAsia="仿宋_GB2312"/>
                <w:sz w:val="21"/>
              </w:rPr>
              <w:t>排水沟：排水沟的砌筑材料与施工工艺，严格执行道路排水工程的相关标准。砌筑材料的强度、耐久性等指标符合规范，施工工艺确保排水沟的结构稳固，排水效果良好，符合排水工程的质量规范。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公司资质要求</w:t>
            </w:r>
          </w:p>
        </w:tc>
        <w:tc>
          <w:tcPr>
            <w:tcW w:type="dxa" w:w="3322"/>
          </w:tcPr>
          <w:p>
            <w:pPr>
              <w:pStyle w:val="null3"/>
            </w:pPr>
            <w:r>
              <w:rPr>
                <w:rFonts w:ascii="仿宋_GB2312" w:hAnsi="仿宋_GB2312" w:cs="仿宋_GB2312" w:eastAsia="仿宋_GB2312"/>
              </w:rPr>
              <w:t>具备行政主管部门核发的公路工程施工总承包 三级及以上（含三级）资质。具备有效的安全生产许可证。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往本项目的项目经理必须为本企业注册的建造师，具备公路工程专业二级及以上注册建造师执业资格和有效的安全生产考核合格证书(B证)，提供2024年7月至今至少一个月供应商为其缴纳的社会保险的证明材料（五险一金提供一项即可），且未担任其它在建工程的项目经理；</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提供开标截止时间前6个月内至少已缴纳1个月的完税证明，完税证明上应有代收机构或税务机关的公章或业务专用章。依法免税或新成立的供应商应提供相关文件证明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本项目不接受联合体投标，单位负责人为同一人或者存在直接控股、管理关系的不同投标人，不得参加同一合同项下的政府采购活动（提供非联合体投标声明，包括控股管理声明）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响应文件构成无重大缺项（详细评审除外），按照文件要求的格式编写响应文件</w:t>
            </w:r>
          </w:p>
        </w:tc>
        <w:tc>
          <w:tcPr>
            <w:tcW w:type="dxa" w:w="1661"/>
          </w:tcPr>
          <w:p>
            <w:pPr>
              <w:pStyle w:val="null3"/>
            </w:pPr>
            <w:r>
              <w:rPr>
                <w:rFonts w:ascii="仿宋_GB2312" w:hAnsi="仿宋_GB2312" w:cs="仿宋_GB2312" w:eastAsia="仿宋_GB2312"/>
              </w:rPr>
              <w:t>已标价工程量清单 中小企业声明函 供应商应提交的相关资格证明材料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已标价工程量清单 中小企业声明函 供应商应提交的相关资格证明材料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响应文件的签署、盖章符合文件要求，供应商递交的响应文件与本项目名称一致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针对本项目提供的项目施工方案，内容包括但不限于①前期筹备全面部署②施工流程科学规划及成本控制精准高③安全管理全程覆盖 ④工程质量保证措施⑤施工机械设备配备⑥劳动力计划及主要材料供应计划计划效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针对本项目提供的项目管理机构及项目经理部组成，内容包括但不限于①项目管理机构②项目经理部组成③专业化项目经理部组建原则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针对本项目确保安全生产的技术组织措施及应急预案，内容包括但不限于①确保安全生产的技术组织措施②应急预案③危险源分级管控与技术防护体系④安全防护与文明施工措施⑤多场景应急处置预案与演练机制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针对本项目确保文明施工的技术措施及环境保护措施，内容包括但不限于①确保文明施工的技术措施②环境保护措施③施工区域标准化封闭管理措施④精细化扬尘与噪音防控技术方案⑤施工废弃物分类处理与资源化利用措施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针对本项目施工进度计划及确保工期的技术措施，内容包括但不限于①施工进度计划②确保工期的技术措施③分阶段精细化施工进度计划编制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针对本项目雨季施工管理防范措施，内容包括但不限于①场地排水系统升级与动态监测措施②工序优化与防雨作业保障机制③雨季施工管理防范措施 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针对本项目垃圾清运方案，内容包括但不限于①清运管控与环境防护措施②垃圾清运方案 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承诺，内容包括但不限于①服务过程中的相关承诺②投入材料质量承诺③质量保修期内的服务承诺④合理化建议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7月以来类似项目业绩；每提供1份计2分，最高得8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