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版本号：SYCG-TP-25030（二次）20250812001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三原县城市公益性公墓建设项目初步设计报告编制(二次)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SYCG-TP-25030（二次）</w:t>
      </w:r>
      <w:r>
        <w:br/>
      </w:r>
      <w:r>
        <w:br/>
      </w:r>
      <w:r>
        <w:br/>
      </w:r>
    </w:p>
    <w:p>
      <w:pPr>
        <w:pStyle w:val="null3"/>
        <w:jc w:val="center"/>
        <w:outlineLvl w:val="2"/>
      </w:pPr>
      <w:r>
        <w:rPr>
          <w:rFonts w:ascii="仿宋_GB2312" w:hAnsi="仿宋_GB2312" w:cs="仿宋_GB2312" w:eastAsia="仿宋_GB2312"/>
          <w:sz w:val="28"/>
          <w:b/>
        </w:rPr>
        <w:t>三原县民政局</w:t>
      </w:r>
    </w:p>
    <w:p>
      <w:pPr>
        <w:pStyle w:val="null3"/>
        <w:jc w:val="center"/>
        <w:outlineLvl w:val="2"/>
      </w:pPr>
      <w:r>
        <w:rPr>
          <w:rFonts w:ascii="仿宋_GB2312" w:hAnsi="仿宋_GB2312" w:cs="仿宋_GB2312" w:eastAsia="仿宋_GB2312"/>
          <w:sz w:val="28"/>
          <w:b/>
        </w:rPr>
        <w:t>三原县政府采购中心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三原县政府采购中心</w:t>
      </w:r>
      <w:r>
        <w:rPr>
          <w:rFonts w:ascii="仿宋_GB2312" w:hAnsi="仿宋_GB2312" w:cs="仿宋_GB2312" w:eastAsia="仿宋_GB2312"/>
        </w:rPr>
        <w:t>（以下简称“代理机构”）受</w:t>
      </w:r>
      <w:r>
        <w:rPr>
          <w:rFonts w:ascii="仿宋_GB2312" w:hAnsi="仿宋_GB2312" w:cs="仿宋_GB2312" w:eastAsia="仿宋_GB2312"/>
        </w:rPr>
        <w:t>三原县民政局</w:t>
      </w:r>
      <w:r>
        <w:rPr>
          <w:rFonts w:ascii="仿宋_GB2312" w:hAnsi="仿宋_GB2312" w:cs="仿宋_GB2312" w:eastAsia="仿宋_GB2312"/>
        </w:rPr>
        <w:t>委托，拟对</w:t>
      </w:r>
      <w:r>
        <w:rPr>
          <w:rFonts w:ascii="仿宋_GB2312" w:hAnsi="仿宋_GB2312" w:cs="仿宋_GB2312" w:eastAsia="仿宋_GB2312"/>
        </w:rPr>
        <w:t>三原县城市公益性公墓建设项目初步设计报告编制(二次)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SYCG-TP-25030（二次）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三原县城市公益性公墓建设项目初步设计报告编制(二次)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总用地面积约60亩，新建三层框架结构骨灰堂一座设置骨灰格位，新建综合服务楼，墓穴数量，配套建设停车场、绿化及广场等附属设施的初步设计方案，包括设计说明、主要设备和材料清单、图纸设计、工程概算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1、主体资格证明：具有独立承担民事责任能力的法人、其他组织或自然人，统一社会信用代码营业执照（事业单位提供事业单位法人证书，自然人提供本人身份证）合法有效；</w:t>
      </w:r>
    </w:p>
    <w:p>
      <w:pPr>
        <w:pStyle w:val="null3"/>
      </w:pPr>
      <w:r>
        <w:rPr>
          <w:rFonts w:ascii="仿宋_GB2312" w:hAnsi="仿宋_GB2312" w:cs="仿宋_GB2312" w:eastAsia="仿宋_GB2312"/>
        </w:rPr>
        <w:t>2、资质证明：供应商须具备工程设计资质行业资质（建筑行业）乙级及以上资质或工程设计资质专业资质建筑行业（建筑工程专业）乙级及以上资质并同时具备风景园林工程设计乙级及以上资质；项目负责人须具备国家一级注册建筑师资格，在本单位注册。</w:t>
      </w:r>
    </w:p>
    <w:p>
      <w:pPr>
        <w:pStyle w:val="null3"/>
      </w:pPr>
      <w:r>
        <w:rPr>
          <w:rFonts w:ascii="仿宋_GB2312" w:hAnsi="仿宋_GB2312" w:cs="仿宋_GB2312" w:eastAsia="仿宋_GB2312"/>
        </w:rPr>
        <w:t>3、财务状况报告：提供2023年度或2024年度经审计的财务报告（成立时间至提交响应文件截止时间不足一年的可提供成立后任意时段的资产负债表），或其开标前三个月内银行出具的资信证明，（以上两种形式的资料提供任何一种即可）</w:t>
      </w:r>
    </w:p>
    <w:p>
      <w:pPr>
        <w:pStyle w:val="null3"/>
      </w:pPr>
      <w:r>
        <w:rPr>
          <w:rFonts w:ascii="仿宋_GB2312" w:hAnsi="仿宋_GB2312" w:cs="仿宋_GB2312" w:eastAsia="仿宋_GB2312"/>
        </w:rPr>
        <w:t>4、税收缴纳证明：提供谈判截止时间前6个月内至少已缴纳1个月的完税证明，完税证明上应有代收机构或税务机关的公章或业务专用章。依法免税或新成立的供应商应提供相关文件证明；</w:t>
      </w:r>
    </w:p>
    <w:p>
      <w:pPr>
        <w:pStyle w:val="null3"/>
      </w:pPr>
      <w:r>
        <w:rPr>
          <w:rFonts w:ascii="仿宋_GB2312" w:hAnsi="仿宋_GB2312" w:cs="仿宋_GB2312" w:eastAsia="仿宋_GB2312"/>
        </w:rPr>
        <w:t>5、社会保障资金缴纳证明：提供开标截止时间前6个月内至少已缴存1个月的社会保障资金缴存单据或社保机构开具的社会保险参保缴费情况证明，单据或证明上应有社保机构或代收机构的公章或业务专用章。依法不需要缴纳社会保障资金或新成立的供应商应提供相关文件证明；</w:t>
      </w:r>
    </w:p>
    <w:p>
      <w:pPr>
        <w:pStyle w:val="null3"/>
      </w:pPr>
      <w:r>
        <w:rPr>
          <w:rFonts w:ascii="仿宋_GB2312" w:hAnsi="仿宋_GB2312" w:cs="仿宋_GB2312" w:eastAsia="仿宋_GB2312"/>
        </w:rPr>
        <w:t>6、供应商具备履行合同所必需的设备和专业技术能力的证明：供应商具备履行合同所必需的设备和专业技术能力的证明。</w:t>
      </w:r>
    </w:p>
    <w:p>
      <w:pPr>
        <w:pStyle w:val="null3"/>
      </w:pPr>
      <w:r>
        <w:rPr>
          <w:rFonts w:ascii="仿宋_GB2312" w:hAnsi="仿宋_GB2312" w:cs="仿宋_GB2312" w:eastAsia="仿宋_GB2312"/>
        </w:rPr>
        <w:t>7、谈判响应声明书：供应商参加本次采购活动3年内，在经营活动中没有重大违法记录以及未被列入失信被执行人、重大税收违法案件当事人名单、政府采购严重违法失信行为记录名单的书面声明。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（三）供应商应当自行准备适应电子化采购所需的计算机终端、软硬件及网络环境，承担因准备不足产生的不利后果。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ind w:firstLine="480"/>
        <w:jc w:val="left"/>
      </w:pPr>
      <w:r>
        <w:rPr>
          <w:rFonts w:ascii="仿宋_GB2312" w:hAnsi="仿宋_GB2312" w:cs="仿宋_GB2312" w:eastAsia="仿宋_GB2312"/>
        </w:rPr>
        <w:t xml:space="preserve"> 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三原县政府街4号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029-32282400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三原县政府采购中心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三原县政府街7号三原县财政局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029-32269233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产品属于节能产品政府采购品目清单中应强制采购的产品范围，供应商应当按照第七章强制、优先采购产品承诺函格式进行承诺，否则作无效响应处理。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产品属于环境标志产品政府采购品目清单中应优先采购的产品范围，供应商可根据第七章强制、优先采购产品承诺函格式要求承诺提供经认证的节能、环境标志产品。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 xml:space="preserve"> 二、本竞争性谈判文件的最终解释权由</w:t>
      </w:r>
      <w:r>
        <w:rPr>
          <w:rFonts w:ascii="仿宋_GB2312" w:hAnsi="仿宋_GB2312" w:cs="仿宋_GB2312" w:eastAsia="仿宋_GB2312"/>
        </w:rPr>
        <w:t>三原县民政局</w:t>
      </w:r>
      <w:r>
        <w:rPr>
          <w:rFonts w:ascii="仿宋_GB2312" w:hAnsi="仿宋_GB2312" w:cs="仿宋_GB2312" w:eastAsia="仿宋_GB2312"/>
        </w:rPr>
        <w:t>和</w:t>
      </w:r>
      <w:r>
        <w:rPr>
          <w:rFonts w:ascii="仿宋_GB2312" w:hAnsi="仿宋_GB2312" w:cs="仿宋_GB2312" w:eastAsia="仿宋_GB2312"/>
        </w:rPr>
        <w:t>三原县政府采购中心</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三原县民政局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三原县政府采购中心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三原县民政局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三原县政府采购中心</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 xml:space="preserve"> 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一、供应商的报价是供应商响应谈判项目要求的全部工作内容的价格体现，包括供应商完成本项目所需的一切费用。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2.4.8响应文件有效期</w:t>
      </w:r>
    </w:p>
    <w:p>
      <w:pPr>
        <w:pStyle w:val="null3"/>
        <w:ind w:firstLine="480"/>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符合民政部关于县级城市公益性公墓建设标准，通过专家评审合格取得批复后。</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联系人：王先生</w:t>
      </w:r>
    </w:p>
    <w:p>
      <w:pPr>
        <w:pStyle w:val="null3"/>
      </w:pPr>
      <w:r>
        <w:rPr>
          <w:rFonts w:ascii="仿宋_GB2312" w:hAnsi="仿宋_GB2312" w:cs="仿宋_GB2312" w:eastAsia="仿宋_GB2312"/>
        </w:rPr>
        <w:t>联系电话：029-32269233</w:t>
      </w:r>
    </w:p>
    <w:p>
      <w:pPr>
        <w:pStyle w:val="null3"/>
      </w:pPr>
      <w:r>
        <w:rPr>
          <w:rFonts w:ascii="仿宋_GB2312" w:hAnsi="仿宋_GB2312" w:cs="仿宋_GB2312" w:eastAsia="仿宋_GB2312"/>
        </w:rPr>
        <w:t>地址：三原县政府街7号三原县财政局</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总用地面积约60亩，新建三层框架结构骨灰堂一座设置骨灰格位，新建综合服务楼，墓穴数量，配套建设停车场、绿化及广场等附属设施的初步设计方案，包括设计说明、主要设备和材料清单、图纸设计、工程概算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570,000.00</w:t>
      </w:r>
    </w:p>
    <w:p>
      <w:pPr>
        <w:pStyle w:val="null3"/>
      </w:pPr>
      <w:r>
        <w:rPr>
          <w:rFonts w:ascii="仿宋_GB2312" w:hAnsi="仿宋_GB2312" w:cs="仿宋_GB2312" w:eastAsia="仿宋_GB2312"/>
        </w:rPr>
        <w:t>采购包最高限价（元）: 570,000.00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设计服务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标的名称：设计服务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rPr>
              <w:t>本项目总用地面积约</w:t>
            </w:r>
            <w:r>
              <w:rPr>
                <w:rFonts w:ascii="仿宋_GB2312" w:hAnsi="仿宋_GB2312" w:cs="仿宋_GB2312" w:eastAsia="仿宋_GB2312"/>
              </w:rPr>
              <w:t>60亩，新建三层框架结构骨灰堂一座设置骨灰格位，新建综合服务楼，墓穴数量，配套建设停车场、绿化及广场等附属设施的</w:t>
            </w:r>
            <w:r>
              <w:rPr>
                <w:rFonts w:ascii="仿宋_GB2312" w:hAnsi="仿宋_GB2312" w:cs="仿宋_GB2312" w:eastAsia="仿宋_GB2312"/>
              </w:rPr>
              <w:t>初步设计方案，包括设计说明、主要设备和材料清单、图纸设计、工程概算等</w:t>
            </w:r>
            <w:r>
              <w:rPr>
                <w:rFonts w:ascii="仿宋_GB2312" w:hAnsi="仿宋_GB2312" w:cs="仿宋_GB2312" w:eastAsia="仿宋_GB2312"/>
              </w:rPr>
              <w:t>，</w:t>
            </w:r>
            <w:r>
              <w:rPr>
                <w:rFonts w:ascii="仿宋_GB2312" w:hAnsi="仿宋_GB2312" w:cs="仿宋_GB2312" w:eastAsia="仿宋_GB2312"/>
              </w:rPr>
              <w:t>各</w:t>
            </w:r>
            <w:r>
              <w:rPr>
                <w:rFonts w:ascii="仿宋_GB2312" w:hAnsi="仿宋_GB2312" w:cs="仿宋_GB2312" w:eastAsia="仿宋_GB2312"/>
              </w:rPr>
              <w:t>6套。电子光盘2份。</w:t>
            </w:r>
          </w:p>
          <w:p>
            <w:pPr>
              <w:pStyle w:val="null3"/>
              <w:jc w:val="both"/>
            </w:pPr>
            <w:r>
              <w:rPr>
                <w:rFonts w:ascii="仿宋_GB2312" w:hAnsi="仿宋_GB2312" w:cs="仿宋_GB2312" w:eastAsia="仿宋_GB2312"/>
                <w:sz w:val="21"/>
              </w:rPr>
              <w:t>服务期限：</w:t>
            </w:r>
            <w:r>
              <w:rPr>
                <w:rFonts w:ascii="仿宋_GB2312" w:hAnsi="仿宋_GB2312" w:cs="仿宋_GB2312" w:eastAsia="仿宋_GB2312"/>
                <w:sz w:val="21"/>
              </w:rPr>
              <w:t>45日历天</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3"/>
      </w:pPr>
      <w:r>
        <w:rPr>
          <w:rFonts w:ascii="仿宋_GB2312" w:hAnsi="仿宋_GB2312" w:cs="仿宋_GB2312" w:eastAsia="仿宋_GB2312"/>
          <w:sz w:val="24"/>
          <w:b/>
        </w:rPr>
        <w:t>3.2.5服务内容其他要求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采购人组织专家评审验收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jc w:val="left"/>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具体以合同签订为准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生效后，乙方对其提交的设计成果质量负责，并负责对设计成果出现的遗漏或错误进行修改、补充；甲方要求终止或解除协议，乙方未开始设计工作时，甲方无需支付乙方费用；乙方已开始设计工作的，甲方根据乙方完成工作量支付相应费用，不足一半时，按一半支付，超过一半时，按全部支付。 ；如发生纠纷时，双方应及时协商解决。协商不成时，双方同意由 项目所在地人民法院 提起诉讼解决。</w:t>
      </w:r>
    </w:p>
    <w:p>
      <w:pPr>
        <w:pStyle w:val="null3"/>
        <w:outlineLvl w:val="3"/>
      </w:pPr>
      <w:r>
        <w:rPr>
          <w:rFonts w:ascii="仿宋_GB2312" w:hAnsi="仿宋_GB2312" w:cs="仿宋_GB2312" w:eastAsia="仿宋_GB2312"/>
          <w:sz w:val="24"/>
          <w:b/>
        </w:rPr>
        <w:t>3.4 其它要求</w:t>
      </w:r>
    </w:p>
    <w:p>
      <w:pPr>
        <w:pStyle w:val="null3"/>
      </w:pPr>
      <w:r>
        <w:rPr>
          <w:rFonts w:ascii="仿宋_GB2312" w:hAnsi="仿宋_GB2312" w:cs="仿宋_GB2312" w:eastAsia="仿宋_GB2312"/>
        </w:rPr>
        <w:t>质量标准及技术要求：按照民政部关于县级城市公益性公墓建设项目标准和节地生态安葬要求及《建筑工程设计规范》，在保持原有场地地形地貌特点的同时，注重公益性、实用性和园林式风格。初设报告应采用清晰简用的语言，图纸尺寸及比例符合国家标准，保证设计质量，降低工程概算，提高建筑物整体实用性和美观性。</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具有独立承担民事责任能力的法人、其他组织或自然人，统一社会信用代码营业执照（事业单位提供事业单位法人证书，自然人提供本人身份证）合法有效；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资质证明</w:t>
            </w:r>
          </w:p>
        </w:tc>
        <w:tc>
          <w:tcPr>
            <w:tcW w:type="dxa" w:w="3322"/>
          </w:tcPr>
          <w:p>
            <w:pPr>
              <w:pStyle w:val="null3"/>
            </w:pPr>
            <w:r>
              <w:rPr>
                <w:rFonts w:ascii="仿宋_GB2312" w:hAnsi="仿宋_GB2312" w:cs="仿宋_GB2312" w:eastAsia="仿宋_GB2312"/>
              </w:rPr>
              <w:t>供应商须具备工程设计资质行业资质（建筑行业）乙级及以上资质或工程设计资质专业资质建筑行业（建筑工程专业）乙级及以上资质并同时具备风景园林工程设计乙级及以上资质；项目负责人须具备国家一级注册建筑师资格，在本单位注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成立时间至提交响应文件截止时间不足一年的可提供成立后任意时段的资产负债表），或其开标前三个月内银行出具的资信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提供谈判截止时间前6个月内至少已缴纳1个月的完税证明，完税证明上应有代收机构或税务机关的公章或业务专用章。依法免税或新成立的供应商应提供相关文件证明；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截止时间前6个月内至少已缴存1个月的社会保障资金缴存单据或社保机构开具的社会保险参保缴费情况证明，单据或证明上应有社保机构或代收机构的公章或业务专用章。依法不需要缴纳社会保障资金或新成立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供应商具备履行合同所必需的设备和专业技术能力的证明</w:t>
            </w:r>
          </w:p>
        </w:tc>
        <w:tc>
          <w:tcPr>
            <w:tcW w:type="dxa" w:w="3322"/>
          </w:tcPr>
          <w:p>
            <w:pPr>
              <w:pStyle w:val="null3"/>
            </w:pPr>
            <w:r>
              <w:rPr>
                <w:rFonts w:ascii="仿宋_GB2312" w:hAnsi="仿宋_GB2312" w:cs="仿宋_GB2312" w:eastAsia="仿宋_GB2312"/>
              </w:rPr>
              <w:t>供应商具备履行合同所必需的设备和专业技术能力的证明。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谈判响应声明书</w:t>
            </w:r>
          </w:p>
        </w:tc>
        <w:tc>
          <w:tcPr>
            <w:tcW w:type="dxa" w:w="3322"/>
          </w:tcPr>
          <w:p>
            <w:pPr>
              <w:pStyle w:val="null3"/>
            </w:pPr>
            <w:r>
              <w:rPr>
                <w:rFonts w:ascii="仿宋_GB2312" w:hAnsi="仿宋_GB2312" w:cs="仿宋_GB2312" w:eastAsia="仿宋_GB2312"/>
              </w:rPr>
              <w:t>供应商参加本次采购活动3年内，在经营活动中没有重大违法记录以及未被列入失信被执行人、重大税收违法案件当事人名单、政府采购严重违法失信行为记录名单的书面声明。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评审专家是采取随机方式在采购一体化平台的专家库系统（以下简称专家库系统）抽取。技术复杂、专业性较强的采购项目，评审专家中应当包含1名法律专家。</w:t>
      </w:r>
    </w:p>
    <w:p>
      <w:pPr>
        <w:pStyle w:val="null3"/>
        <w:ind w:firstLine="480"/>
        <w:jc w:val="left"/>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rFonts w:ascii="仿宋_GB2312" w:hAnsi="仿宋_GB2312" w:cs="仿宋_GB2312" w:eastAsia="仿宋_GB2312"/>
        </w:rPr>
        <w:t>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商务技术文件.docx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响应文件构成无重大缺项，按照文件要求的格式编写响应文件</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商务技术文件.docx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响应文件的签署、盖章符合文件要求，供应商 递交的响应文件与本项目名称一致</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响应文件响应性</w:t>
            </w:r>
          </w:p>
        </w:tc>
        <w:tc>
          <w:tcPr>
            <w:tcW w:type="dxa" w:w="3322"/>
          </w:tcPr>
          <w:p>
            <w:pPr>
              <w:pStyle w:val="null3"/>
            </w:pPr>
            <w:r>
              <w:rPr>
                <w:rFonts w:ascii="仿宋_GB2312" w:hAnsi="仿宋_GB2312" w:cs="仿宋_GB2312" w:eastAsia="仿宋_GB2312"/>
              </w:rPr>
              <w:t>服务期限响应文件要求</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资格证明文件.docx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八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jc w:val="left"/>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商务技术文件.docx 标的清单 报价表</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6.3.10谈判异议处理规则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详见附件：三原县城市公益性公墓建设项目初步设计报告编制采购合同.docx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