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版本号：HYGJ-XF-53220250815001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三原县2024年度国土变更调查项目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HYGJ-XF-532</w:t>
      </w:r>
      <w:r>
        <w:br/>
      </w:r>
      <w:r>
        <w:br/>
      </w:r>
      <w:r>
        <w:br/>
      </w:r>
    </w:p>
    <w:p>
      <w:pPr>
        <w:pStyle w:val="null3"/>
        <w:jc w:val="center"/>
        <w:outlineLvl w:val="2"/>
      </w:pPr>
      <w:r>
        <w:rPr>
          <w:rFonts w:ascii="仿宋_GB2312" w:hAnsi="仿宋_GB2312" w:cs="仿宋_GB2312" w:eastAsia="仿宋_GB2312"/>
          <w:sz w:val="28"/>
          <w:b/>
        </w:rPr>
        <w:t>三原县自然资源局</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三原县自然资源局</w:t>
      </w:r>
      <w:r>
        <w:rPr>
          <w:rFonts w:ascii="仿宋_GB2312" w:hAnsi="仿宋_GB2312" w:cs="仿宋_GB2312" w:eastAsia="仿宋_GB2312"/>
        </w:rPr>
        <w:t>委托，拟对</w:t>
      </w:r>
      <w:r>
        <w:rPr>
          <w:rFonts w:ascii="仿宋_GB2312" w:hAnsi="仿宋_GB2312" w:cs="仿宋_GB2312" w:eastAsia="仿宋_GB2312"/>
        </w:rPr>
        <w:t>三原县2024年度国土变更调查项目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HYGJ-XF-532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三原县2024年度国土变更调查项目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部、省、市《关于做好2024年度变更调查工作的通知》等文件要求，按照上级统一标准，以2024年12月31日为标准时点，统筹使用国、省遥感监测成果以及各类自然资源管理成果，通过实地调查核实举证、逐级地类核查、数据库更新、市级检查审核、省级核查把关、国家核查确认等工作，全面掌握我县2024年度国土利用变化情况，更新国土调查数据库，保持国土调查成果的现势性，进一步夯实国土调查成果作为自然资源管理工作底数、底版和底图的工作基础，为耕地保护和粮食安全责任制首次考核做好数据准备，有效支撑高质量发展和国土空间治理现代化。结合2024年度国土变更调查工作，对耕地特别是永久基本农田转为园地、林地、草地等其他农用地情况进行全面排查，对不合理的耕地流出问题及时组织整改。同时，以“三区三线”成果为基础，重点梳理新增建设用地占用耕地情况，及时对违法违规用地等行为进行纠正和查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采购包1（三原县2024年度国土变更调查项目）：属于专门面向中小企业采购。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1、授权委托书：供应商应授权合法的人员参加全过程，其中法定代表人直接参加的，须出具法人身份证，并与营业执照上信息一致；法定代表人授权代表参加的，须出具法定代表人授权书及授权代表身份证；</w:t>
      </w:r>
    </w:p>
    <w:p>
      <w:pPr>
        <w:pStyle w:val="null3"/>
      </w:pPr>
      <w:r>
        <w:rPr>
          <w:rFonts w:ascii="仿宋_GB2312" w:hAnsi="仿宋_GB2312" w:cs="仿宋_GB2312" w:eastAsia="仿宋_GB2312"/>
        </w:rPr>
        <w:t>2、资质条件：供应商须具有独立承担民事责任能力的法人、其他组织或自然人，并出具合法有效的营业执照或事业单位法人证书等国家规定的相关证明，自然人参与的提供其身份证明，供应商须具有测绘乙级及以上资质；</w:t>
      </w:r>
    </w:p>
    <w:p>
      <w:pPr>
        <w:pStyle w:val="null3"/>
      </w:pPr>
      <w:r>
        <w:rPr>
          <w:rFonts w:ascii="仿宋_GB2312" w:hAnsi="仿宋_GB2312" w:cs="仿宋_GB2312" w:eastAsia="仿宋_GB2312"/>
        </w:rPr>
        <w:t>3、书面声明：出具参加政府采购活动前3年内在经营活动中没有重大违法记录的书面声明；</w:t>
      </w:r>
    </w:p>
    <w:p>
      <w:pPr>
        <w:pStyle w:val="null3"/>
      </w:pPr>
      <w:r>
        <w:rPr>
          <w:rFonts w:ascii="仿宋_GB2312" w:hAnsi="仿宋_GB2312" w:cs="仿宋_GB2312" w:eastAsia="仿宋_GB2312"/>
        </w:rPr>
        <w:t>4、财务状况证明：供应商提供2024年经审计的财务报告（响应人的成立时间少于规定年份的，应提供成立以来的财务状况表）；或提供开户许可证（供应商在国家取消基本存款账户开户行政许可之后成立的，提供基本存款账号编号)以及在开标会议日期前三个月内其基本开户银行出具的资信证明；</w:t>
      </w:r>
    </w:p>
    <w:p>
      <w:pPr>
        <w:pStyle w:val="null3"/>
      </w:pPr>
      <w:r>
        <w:rPr>
          <w:rFonts w:ascii="仿宋_GB2312" w:hAnsi="仿宋_GB2312" w:cs="仿宋_GB2312" w:eastAsia="仿宋_GB2312"/>
        </w:rPr>
        <w:t>5、税收缴纳证明：供应商提供近半年内已缴纳的至少一个月的纳税证明或完税证明，纳税证明或完税证明上应有代收机构或税务机关的公章，依法免税的供应商应提供相关文件证明；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6、社会保障资金缴纳证明：供应商提供近半年内已缴存的至少一个月的社会保障资金缴存单据或社保机构开具的社会保险参保缴费情况证明，依法不需要缴纳社会保障资金的供应商应提供相关文件证明；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供应商信誉要求：7.1投标人不得在“中国执行信息公开网”网站被列为失信被执行人；7.2投标人在“中国裁判文书网”无行贿犯罪查询结果网页截图；7.3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三原县自然资源局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15877619722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陕西省西咸新区沣西新城中铁港沣国际十三层 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029-88685628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采购包1：2,008,545.20元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规定的标准，由中标供应商在领取《中标通知书》前直接支付给采购代理单位。</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三原县自然资源局</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符合国省市关于2024年度全国国土变更调查工作总体成果验收要求。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联系电话：029-88685628</w:t>
      </w:r>
    </w:p>
    <w:p>
      <w:pPr>
        <w:pStyle w:val="null3"/>
      </w:pPr>
      <w:r>
        <w:rPr>
          <w:rFonts w:ascii="仿宋_GB2312" w:hAnsi="仿宋_GB2312" w:cs="仿宋_GB2312" w:eastAsia="仿宋_GB2312"/>
        </w:rPr>
        <w:t>地址：陕西省西咸新区沣西新城中铁港沣国际十三层 1309室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部、省、市《关于做好2024年度变更调查工作的通知》等文件要求，按照上级统一标准，以2024年12月31日为标准时点，统筹使用国、省遥感监测成果以及各类自然资源管理成果，通过实地调查核实举证、逐级地类核查、数据库更新、市级检查审核、省级核查把关、国家核查确认等工作，全面掌握我县2024年度国土利用变化情况，更新国土调查数据库，保持国土调查成果的现势性，进一步夯实国土调查成果作为自然资源管理工作底数、底版和底图的工作基础，为耕地保护和粮食安全责任制首次考核做好数据准备，有效支撑高质量发展和国土空间治理现代化。结合2024年度国土变更调查工作，对耕地特别是永久基本农田转为园地、林地、草地等其他农用地情况进行全面排查，对不合理的耕地流出问题及时组织整改。同时，以“三区三线”成果为基础，重点梳理新增建设用地占用耕地情况，及时对违法违规用地等行为进行纠正和查处。依据《自然资源部办公厅关于开展2024年度全国国土变更调查工作的通知》（自然资办发〔2024]44号）、《咸阳市自然资源局关于做好2024年日常国士变更调查工作的通知》咸自资发（2024）103号，按时完成部省市自然资源主管部门的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2,008,545.20</w:t>
      </w:r>
    </w:p>
    <w:p>
      <w:pPr>
        <w:pStyle w:val="null3"/>
      </w:pPr>
      <w:r>
        <w:rPr>
          <w:rFonts w:ascii="仿宋_GB2312" w:hAnsi="仿宋_GB2312" w:cs="仿宋_GB2312" w:eastAsia="仿宋_GB2312"/>
        </w:rPr>
        <w:t>采购包最高限价（元）: 2,008,545.20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三原县2024年度国土变更调查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2,008,545.20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标的名称：三原县2024年度国土变更调查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按照《自然资源部办公厅关于开展</w:t>
            </w:r>
            <w:r>
              <w:rPr>
                <w:rFonts w:ascii="仿宋_GB2312" w:hAnsi="仿宋_GB2312" w:cs="仿宋_GB2312" w:eastAsia="仿宋_GB2312"/>
                <w:sz w:val="21"/>
              </w:rPr>
              <w:t>2024年度全国国土变更调查工作的通知》（自然资办发〔2024]44号）、《咸阳市自然资源局关于做好2024年日常国士变更调查工作的通知》咸自资发（2024）103号文件要求，严格按照方案完成部省市各级核查</w:t>
            </w:r>
            <w:r>
              <w:rPr>
                <w:rFonts w:ascii="仿宋_GB2312" w:hAnsi="仿宋_GB2312" w:cs="仿宋_GB2312" w:eastAsia="仿宋_GB2312"/>
                <w:sz w:val="21"/>
              </w:rPr>
              <w:t>及数据</w:t>
            </w:r>
            <w:r>
              <w:rPr>
                <w:rFonts w:ascii="仿宋_GB2312" w:hAnsi="仿宋_GB2312" w:cs="仿宋_GB2312" w:eastAsia="仿宋_GB2312"/>
                <w:sz w:val="21"/>
              </w:rPr>
              <w:t>修改要求。</w:t>
            </w:r>
            <w:r>
              <w:rPr>
                <w:rFonts w:ascii="仿宋_GB2312" w:hAnsi="仿宋_GB2312" w:cs="仿宋_GB2312" w:eastAsia="仿宋_GB2312"/>
                <w:sz w:val="21"/>
              </w:rPr>
              <w:t>质量达到国家质检合格要求。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360天内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三原县自然资源局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确保项目成果符合技术标准要求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经审核，完成所有成果文件并提交甲方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因合同执行过程中双方发生纠纷，可由双方当事人协商解决或由双方主管部门调解，若达不成协议，当事人双方同意向项目所在地有管辖权的人民法院诉。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壹份、电子版壹份（正本扫描件，U盘壹份）。2）纸质响应文件正副本分别胶装，标明供应商名称密封递交，递交截止时间同在线递交电子响应文件截止时间一致。3）若电子响应文件与纸质响应文件不一致的，以线上提交的电子响应文件为准。4）线下递交文件时间：同响应文件截止时间、开标时间一致。线下递交文件地点：陕西省西咸新区沣西新城中铁港沣国际十三层 1309室。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供应商应授权合法的人员参加全过程，其中法定代表人直接参加的，须出具法人身份证，并与营业执照上信息一致；法定代表人授权代表参加的，须出具法定代表人授权书及授权代表身份证；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供应商须具有独立承担民事责任能力的法人、其他组织或自然人，并出具合法有效的营业执照或事业单位法人证书等国家规定的相关证明，自然人参与的提供其身份证明，供应商须具有测绘乙级及以上资质；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经审计的财务报告（响应人的成立时间少于规定年份的，应提供成立以来的财务状况表）；或提供开户许可证（供应商在国家取消基本存款账户开户行政许可之后成立的，提供基本存款账号编号)以及在开标会议日期前三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供应商提供近半年内已缴纳的至少一个月的纳税证明或完税证明，纳税证明或完税证明上应有代收机构或税务机关的公章，依法免税的供应商应提供相关文件证明；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供应商提供近半年内已缴存的至少一个月的社会保障资金缴存单据或社保机构开具的社会保险参保缴费情况证明，依法不需要缴纳社会保障资金的供应商应提供相关文件证明；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7.1投标人不得在“中国执行信息公开网”网站被列为失信被执行人；7.2投标人在“中国裁判文书网”无行贿犯罪查询结果网页截图；7.3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落实政府采购政策须提供的资料及供应商认为有必要提供的其它资料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报价唯一，且没有低于成本价或高于单价最高限价的；</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投标文件的签署、盖章符合招标文件要求，供应商递交的投标文件与本项目名称一致；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投标有效期（含授权有效期）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服务期响应招标文件要求；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目标任务与需求分析</w:t>
            </w:r>
          </w:p>
        </w:tc>
        <w:tc>
          <w:tcPr>
            <w:tcW w:type="dxa" w:w="2492"/>
          </w:tcPr>
          <w:p>
            <w:pPr>
              <w:pStyle w:val="null3"/>
            </w:pPr>
            <w:r>
              <w:rPr>
                <w:rFonts w:ascii="仿宋_GB2312" w:hAnsi="仿宋_GB2312" w:cs="仿宋_GB2312" w:eastAsia="仿宋_GB2312"/>
              </w:rPr>
              <w:t>1.参照国家、省市相关政策法规及要求，提出实施方案大纲。目标任务清晰明确、具有规范性和可行性，按其响应程度赋分。 （1）分析理解全面、目标任务清晰明确、具有规范性和可行性，得[3-6]分； （2）分析部分理解，部分目标任务描述明确，部分具有规范性和可行性，得[1-3]分；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对各项工作的逻辑关系及技术路线、作业流程进行描述，其正确、详细的程度重点评价，包括但不限于： （1）逻辑关系及技术路线： ①整体逻辑清晰、设计内容合理、可行，得[5-10]分； ②部分内容逻辑清晰、部分设计内容缺乏合理性、可行性，得[1-5]分；③未提供不得分。 （2）关键技术的作业流程和方法： ①关键技术的作业流程和方法先进、可行、规范、周密，完全适用本项目特点，得[5-10]分； ②关键技术的作业流程和方法合理性稍差，基本适用本项目特点， 得[1-5]分； ③关键技术的作业流程不利于项目实施或未提供不得分。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项目质量控制目标及措施</w:t>
            </w:r>
          </w:p>
        </w:tc>
        <w:tc>
          <w:tcPr>
            <w:tcW w:type="dxa" w:w="2492"/>
          </w:tcPr>
          <w:p>
            <w:pPr>
              <w:pStyle w:val="null3"/>
            </w:pPr>
            <w:r>
              <w:rPr>
                <w:rFonts w:ascii="仿宋_GB2312" w:hAnsi="仿宋_GB2312" w:cs="仿宋_GB2312" w:eastAsia="仿宋_GB2312"/>
              </w:rPr>
              <w:t>1.质量控制有总目标，质量保障体系措施完善具有可行性、对各阶段的质量进行了准确的目标分解、对质量控制各分解目标有明确的控制点且合理，得[4-8]分； 2.质量控制有总目标，质量保障体系措施部分具有可行性，对各阶段的质量进行了目标分解，但对质量控制各分解目标明确的控制点部分合理，得[1-4]分； 3.未提供不得分。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1.根据项目任务和时限要求，提供了详细可行、科学合理的项目实施计划和方案，实施计划和方案中对项目工作进度进行了工作分解并对分解的工作明确了时间控制点，整个项目进度时间点明确可行性强，得[3-6]分； 2.根据项目任务和时限要求，提供了符合的项目实施计划和方案，但部分内容缺少可行性和合理性；提供的实施计划和方案中对项目工作进度进行了工作分解，并对分解的工作明确了时间控制点，整个项目进度时间合理性差，得[1-3]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（1）针对本项目拟投入的仪器设备情况 仪器设备品目完善、数量充足，完全满足项目需求，得[7-10]分； （2）品目及数量基本满足项目需求，得[3-7]分； （3）品目及数量配备有欠缺但能保障项目顺利实施，得[1-3]分，未提供不得分。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承诺内容清晰性、承诺指标明确性，后续服务具有可延续性，得[3-5]分；承诺及措施科学合理，基本满足项目需求，得[1-3]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（1）提供完善的数据安全保密措施，根据响应程度，得[1-3]分； 未提供不得分。 （2）提供数据保密承诺书，根据响应程度，得[1-2]分；未提供不得分。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项目组人员配备</w:t>
            </w:r>
          </w:p>
        </w:tc>
        <w:tc>
          <w:tcPr>
            <w:tcW w:type="dxa" w:w="2492"/>
          </w:tcPr>
          <w:p>
            <w:pPr>
              <w:pStyle w:val="null3"/>
            </w:pPr>
            <w:r>
              <w:rPr>
                <w:rFonts w:ascii="仿宋_GB2312" w:hAnsi="仿宋_GB2312" w:cs="仿宋_GB2312" w:eastAsia="仿宋_GB2312"/>
              </w:rPr>
              <w:t>（1）拟派项目负责人具有全国注册测绘师的得3分；具有测绘类专业高级及以上技术职称的加3分；本项最高得6分； （2）拟派技术负责人具有相关专业高级及以上技术职称的计3分；其他不得分； （3）拟派本项目其他人员中，每具有1名相关专业中级及以上职称的计2分，最高得6分； （4）针对本项目有具体的实施组织机构、项目团队有明确的组织形式、人员结构，职责任务明确、时间安排及分工合理，能确保项目顺利实施，根据响应程度得[1-5]分，未提供或不合理不得分。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2022年08月至今供应商承接过国土变更调查或土地类项目，每提供一项业绩证明材料得5分，最高得 10 分； 注：以合同或中标通知书复印件为准（加盖公章）。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1.满足招标文件实质性要求且最终报价最低的供应商的价格为投标基准价，其价格分为满分 10 分。 2.投标报价得分=（投标基准价/投标报价）× 10 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详见附件：技术部分</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详见附件：落实政府采购政策须提供的资料及供应商认为有必要提供的其它资料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