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版本号：XQSZB2025-04120250815001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三原县城关街道中山街幼儿园办公楼及教辅用房提升改造项目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XQSZB2025-041</w:t>
      </w:r>
      <w:r>
        <w:br/>
      </w:r>
      <w:r>
        <w:br/>
      </w:r>
      <w:r>
        <w:br/>
      </w:r>
    </w:p>
    <w:p>
      <w:pPr>
        <w:pStyle w:val="null3"/>
        <w:jc w:val="center"/>
        <w:outlineLvl w:val="2"/>
      </w:pPr>
      <w:r>
        <w:rPr>
          <w:rFonts w:ascii="仿宋_GB2312" w:hAnsi="仿宋_GB2312" w:cs="仿宋_GB2312" w:eastAsia="仿宋_GB2312"/>
          <w:sz w:val="28"/>
          <w:b/>
        </w:rPr>
        <w:t>三原县城关镇中山街中心小学</w:t>
      </w:r>
    </w:p>
    <w:p>
      <w:pPr>
        <w:pStyle w:val="null3"/>
        <w:jc w:val="center"/>
        <w:outlineLvl w:val="2"/>
      </w:pPr>
      <w:r>
        <w:rPr>
          <w:rFonts w:ascii="仿宋_GB2312" w:hAnsi="仿宋_GB2312" w:cs="仿宋_GB2312" w:eastAsia="仿宋_GB2312"/>
          <w:sz w:val="28"/>
          <w:b/>
        </w:rPr>
        <w:t>陕西鑫仟顺工程项目管理有限公司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陕西鑫仟顺工程项目管理有限公司</w:t>
      </w:r>
      <w:r>
        <w:rPr>
          <w:rFonts w:ascii="仿宋_GB2312" w:hAnsi="仿宋_GB2312" w:cs="仿宋_GB2312" w:eastAsia="仿宋_GB2312"/>
        </w:rPr>
        <w:t>（以下简称“代理机构”）受</w:t>
      </w:r>
      <w:r>
        <w:rPr>
          <w:rFonts w:ascii="仿宋_GB2312" w:hAnsi="仿宋_GB2312" w:cs="仿宋_GB2312" w:eastAsia="仿宋_GB2312"/>
        </w:rPr>
        <w:t>三原县城关镇中山街中心小学</w:t>
      </w:r>
      <w:r>
        <w:rPr>
          <w:rFonts w:ascii="仿宋_GB2312" w:hAnsi="仿宋_GB2312" w:cs="仿宋_GB2312" w:eastAsia="仿宋_GB2312"/>
        </w:rPr>
        <w:t>委托，拟对</w:t>
      </w:r>
      <w:r>
        <w:rPr>
          <w:rFonts w:ascii="仿宋_GB2312" w:hAnsi="仿宋_GB2312" w:cs="仿宋_GB2312" w:eastAsia="仿宋_GB2312"/>
        </w:rPr>
        <w:t>三原县城关街道中山街幼儿园办公楼及教辅用房提升改造项目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XQSZB2025-041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三原县城关街道中山街幼儿园办公楼及教辅用房提升改造项目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对园内新建办公楼一座，同时完成新建教辅用房内多媒体教室深化装修、设备采购及原保教楼等外立面改造等内容。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采购包1（三原县城关街道中山街幼儿园办公楼及教辅用房提升改造项目）：属于专门面向中小企业采购。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财务情况：提供2024年度经审计完整的财务审计报告（成立时间至提交磋商文件截止时间不足一年的可提供成立后任意时段的资产负债表）或磋商截止日前六个月内基本存款账户开户银行出具的资信证明（附开户许可证或开户证明）；</w:t>
      </w:r>
    </w:p>
    <w:p>
      <w:pPr>
        <w:pStyle w:val="null3"/>
      </w:pPr>
      <w:r>
        <w:rPr>
          <w:rFonts w:ascii="仿宋_GB2312" w:hAnsi="仿宋_GB2312" w:cs="仿宋_GB2312" w:eastAsia="仿宋_GB2312"/>
        </w:rPr>
        <w:t>3、纳税证明：提供磋商截止日前六个月内任意一个月的纳税证明或完税证明（增值税、印花税、城市维护建设费、企业所得税等一种或多种税种），依法免税的单位提供相关证明材料；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4、社保缴纳证明：提供磋商截止日前六个月内任意一个月的社保资金交纳证明，依法不需要缴纳社保资金的单位提供相关证明材料；</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6、无重大违法记录：参加本次政府采购活动前三年内在经营活动中没有重大违法记录的书面声明；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及授权代表在本单位缴纳社保的证明），法定代表人直接参加磋商，须提供法定代表人身份证明、法定代表人身份证复印件及在本单位缴纳社保的证明</w:t>
      </w:r>
    </w:p>
    <w:p>
      <w:pPr>
        <w:pStyle w:val="null3"/>
      </w:pPr>
      <w:r>
        <w:rPr>
          <w:rFonts w:ascii="仿宋_GB2312" w:hAnsi="仿宋_GB2312" w:cs="仿宋_GB2312" w:eastAsia="仿宋_GB2312"/>
        </w:rPr>
        <w:t>8、资质证书：供应商须具备建设行政主管部门颁发的建筑工程施工总承包三级及以上资质和具备钢结构工程专业承包三级及以上资质，并具备建设行政主管部门颁发的安全生产许可证；</w:t>
      </w:r>
    </w:p>
    <w:p>
      <w:pPr>
        <w:pStyle w:val="null3"/>
      </w:pPr>
      <w:r>
        <w:rPr>
          <w:rFonts w:ascii="仿宋_GB2312" w:hAnsi="仿宋_GB2312" w:cs="仿宋_GB2312" w:eastAsia="仿宋_GB2312"/>
        </w:rPr>
        <w:t>9、拟派项目负责人资质和专业要求：证书等级：二级注册建造师 专业：建筑工程 补充说明：具备安全考核B证，并提供无在建工程承诺</w:t>
      </w:r>
    </w:p>
    <w:p>
      <w:pPr>
        <w:pStyle w:val="null3"/>
      </w:pPr>
      <w:r>
        <w:rPr>
          <w:rFonts w:ascii="仿宋_GB2312" w:hAnsi="仿宋_GB2312" w:cs="仿宋_GB2312" w:eastAsia="仿宋_GB2312"/>
        </w:rPr>
        <w:t>10、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p>
      <w:pPr>
        <w:pStyle w:val="null3"/>
      </w:pPr>
      <w:r>
        <w:rPr>
          <w:rFonts w:ascii="仿宋_GB2312" w:hAnsi="仿宋_GB2312" w:cs="仿宋_GB2312" w:eastAsia="仿宋_GB2312"/>
        </w:rPr>
        <w:t>11、联合体：本项目不接受联合体磋商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三原县城关镇中山街中心小学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三原县城关镇察院巷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18891000860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陕西鑫仟顺工程项目管理有限公司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陕西省咸阳市秦都区滨河西路大秦御港城10号楼1608室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刘昕娅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029-33253042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采购包1：2,544,887.82元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按标准收费执行。 2.成交单位在领取成交通知书前，须向采购代理机构一次性支付招标代理服务费。 3.招标代理服务费交纳信息： 户 名：陕西鑫仟顺工程项目管理有限公司 开户行：中国光大银行股份有限公司咸阳分行 账 号：55930188000037709 请成交供应商按照要求将招标代理服务费汇入以上指定账户，如因自身原因发生错误，产生的不利后果均由成交供应商自行承担。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三原县城关镇中山街中心小学</w:t>
      </w:r>
      <w:r>
        <w:rPr>
          <w:rFonts w:ascii="仿宋_GB2312" w:hAnsi="仿宋_GB2312" w:cs="仿宋_GB2312" w:eastAsia="仿宋_GB2312"/>
        </w:rPr>
        <w:t>和</w:t>
      </w:r>
      <w:r>
        <w:rPr>
          <w:rFonts w:ascii="仿宋_GB2312" w:hAnsi="仿宋_GB2312" w:cs="仿宋_GB2312" w:eastAsia="仿宋_GB2312"/>
        </w:rPr>
        <w:t>陕西鑫仟顺工程项目管理有限公司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三原县城关镇中山街中心小学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陕西鑫仟顺工程项目管理有限公司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三原县城关镇中山街中心小学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陕西鑫仟顺工程项目管理有限公司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达到设计要求并实现预期绩效目标。</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联系人：刘昕娅</w:t>
      </w:r>
    </w:p>
    <w:p>
      <w:pPr>
        <w:pStyle w:val="null3"/>
      </w:pPr>
      <w:r>
        <w:rPr>
          <w:rFonts w:ascii="仿宋_GB2312" w:hAnsi="仿宋_GB2312" w:cs="仿宋_GB2312" w:eastAsia="仿宋_GB2312"/>
        </w:rPr>
        <w:t>联系电话：029-33253042</w:t>
      </w:r>
    </w:p>
    <w:p>
      <w:pPr>
        <w:pStyle w:val="null3"/>
      </w:pPr>
      <w:r>
        <w:rPr>
          <w:rFonts w:ascii="仿宋_GB2312" w:hAnsi="仿宋_GB2312" w:cs="仿宋_GB2312" w:eastAsia="仿宋_GB2312"/>
        </w:rPr>
        <w:t>地址：陕西省咸阳市秦都区滨河西路大秦御港城10号楼1608室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2,544,887.82</w:t>
      </w:r>
    </w:p>
    <w:p>
      <w:pPr>
        <w:pStyle w:val="null3"/>
      </w:pPr>
      <w:r>
        <w:rPr>
          <w:rFonts w:ascii="仿宋_GB2312" w:hAnsi="仿宋_GB2312" w:cs="仿宋_GB2312" w:eastAsia="仿宋_GB2312"/>
        </w:rPr>
        <w:t>采购包最高限价（元）: 2,544,887.82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三原县城关街道中山街幼儿园办公楼及教辅用房提升改造项目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2,544,887.82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标的名称：三原县城关街道中山街幼儿园办公楼及教辅用房提升改造项目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工程内容：</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对园内新建办公楼一座，同时完成新建教辅用房内多媒体教室深化装修、设备采购及原保教楼等外立面改造等内容。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1.施工地点：</w:t>
            </w:r>
            <w:r>
              <w:rPr>
                <w:rFonts w:ascii="仿宋_GB2312" w:hAnsi="仿宋_GB2312" w:cs="仿宋_GB2312" w:eastAsia="仿宋_GB2312"/>
                <w:sz w:val="21"/>
              </w:rPr>
              <w:t>三原县</w:t>
            </w:r>
            <w:r>
              <w:rPr>
                <w:rFonts w:ascii="仿宋_GB2312" w:hAnsi="仿宋_GB2312" w:cs="仿宋_GB2312" w:eastAsia="仿宋_GB2312"/>
                <w:sz w:val="21"/>
              </w:rPr>
              <w:t>城关街道中山街</w:t>
            </w:r>
            <w:r>
              <w:rPr>
                <w:rFonts w:ascii="仿宋_GB2312" w:hAnsi="仿宋_GB2312" w:cs="仿宋_GB2312" w:eastAsia="仿宋_GB2312"/>
                <w:sz w:val="21"/>
              </w:rPr>
              <w:t>幼儿园</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2.工期：</w:t>
            </w:r>
            <w:r>
              <w:rPr>
                <w:rFonts w:ascii="仿宋_GB2312" w:hAnsi="仿宋_GB2312" w:cs="仿宋_GB2312" w:eastAsia="仿宋_GB2312"/>
                <w:sz w:val="21"/>
              </w:rPr>
              <w:t>五个月。</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.质量标准：符合国家及地方现行验收规范“合格”标准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编制依据：</w:t>
            </w:r>
          </w:p>
          <w:p>
            <w:pPr>
              <w:pStyle w:val="null3"/>
              <w:jc w:val="both"/>
            </w:pPr>
            <w:r>
              <w:rPr>
                <w:rFonts w:ascii="仿宋_GB2312" w:hAnsi="仿宋_GB2312" w:cs="仿宋_GB2312" w:eastAsia="仿宋_GB2312"/>
                <w:sz w:val="21"/>
              </w:rPr>
              <w:t>一、编制依据</w:t>
            </w:r>
          </w:p>
          <w:p>
            <w:pPr>
              <w:pStyle w:val="null3"/>
              <w:jc w:val="both"/>
            </w:pPr>
            <w:r>
              <w:rPr>
                <w:rFonts w:ascii="仿宋_GB2312" w:hAnsi="仿宋_GB2312" w:cs="仿宋_GB2312" w:eastAsia="仿宋_GB2312"/>
                <w:sz w:val="21"/>
              </w:rPr>
              <w:t>1、依据《陕西省建设工程清单计价规则》（2009</w:t>
            </w:r>
            <w:r>
              <w:rPr>
                <w:rFonts w:ascii="仿宋_GB2312" w:hAnsi="仿宋_GB2312" w:cs="仿宋_GB2312" w:eastAsia="仿宋_GB2312"/>
                <w:sz w:val="21"/>
              </w:rPr>
              <w:t>版</w:t>
            </w:r>
            <w:r>
              <w:rPr>
                <w:rFonts w:ascii="仿宋_GB2312" w:hAnsi="仿宋_GB2312" w:cs="仿宋_GB2312" w:eastAsia="仿宋_GB2312"/>
                <w:sz w:val="21"/>
              </w:rPr>
              <w:t>）、《陕西省建筑装饰工程消耗量定额》（</w:t>
            </w:r>
            <w:r>
              <w:rPr>
                <w:rFonts w:ascii="仿宋_GB2312" w:hAnsi="仿宋_GB2312" w:cs="仿宋_GB2312" w:eastAsia="仿宋_GB2312"/>
                <w:sz w:val="21"/>
              </w:rPr>
              <w:t>2004）、《陕西省安装工程消耗量定额》（2004）、《陕西省建筑装饰工程消耗量定额补充定额》（2009）、《陕西园林绿化工程价目表》（2009）、《陕西省建设工程工程量清单计费率》（2009）、《陕西省安装工程价目表》（2009）、《陕西省建筑装饰工程价目表》（2009）。</w:t>
            </w:r>
          </w:p>
          <w:p>
            <w:pPr>
              <w:pStyle w:val="null3"/>
              <w:jc w:val="both"/>
            </w:pPr>
            <w:r>
              <w:rPr>
                <w:rFonts w:ascii="仿宋_GB2312" w:hAnsi="仿宋_GB2312" w:cs="仿宋_GB2312" w:eastAsia="仿宋_GB2312"/>
                <w:sz w:val="21"/>
              </w:rPr>
              <w:t>2、施工图纸、图纸答疑、相关的标准规范。</w:t>
            </w:r>
          </w:p>
          <w:p>
            <w:pPr>
              <w:pStyle w:val="null3"/>
              <w:jc w:val="both"/>
            </w:pPr>
            <w:r>
              <w:rPr>
                <w:rFonts w:ascii="仿宋_GB2312" w:hAnsi="仿宋_GB2312" w:cs="仿宋_GB2312" w:eastAsia="仿宋_GB2312"/>
                <w:sz w:val="21"/>
              </w:rPr>
              <w:t>3、相关的标准图集、规范，常规的施工组织。</w:t>
            </w:r>
          </w:p>
          <w:p>
            <w:pPr>
              <w:pStyle w:val="null3"/>
              <w:jc w:val="both"/>
            </w:pPr>
            <w:r>
              <w:rPr>
                <w:rFonts w:ascii="仿宋_GB2312" w:hAnsi="仿宋_GB2312" w:cs="仿宋_GB2312" w:eastAsia="仿宋_GB2312"/>
                <w:sz w:val="21"/>
              </w:rPr>
              <w:t>4、人工费取费按照</w:t>
            </w:r>
            <w:r>
              <w:rPr>
                <w:rFonts w:ascii="仿宋_GB2312" w:hAnsi="仿宋_GB2312" w:cs="仿宋_GB2312" w:eastAsia="仿宋_GB2312"/>
                <w:sz w:val="21"/>
              </w:rPr>
              <w:t>陕建发【</w:t>
            </w:r>
            <w:r>
              <w:rPr>
                <w:rFonts w:ascii="仿宋_GB2312" w:hAnsi="仿宋_GB2312" w:cs="仿宋_GB2312" w:eastAsia="仿宋_GB2312"/>
                <w:sz w:val="21"/>
              </w:rPr>
              <w:t>2021】1097号号文件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5、扬尘污染治理费按陕建发〔2017〕270号文件执行。</w:t>
            </w:r>
          </w:p>
          <w:p>
            <w:pPr>
              <w:pStyle w:val="null3"/>
              <w:jc w:val="both"/>
            </w:pPr>
            <w:r>
              <w:rPr>
                <w:rFonts w:ascii="仿宋_GB2312" w:hAnsi="仿宋_GB2312" w:cs="仿宋_GB2312" w:eastAsia="仿宋_GB2312"/>
                <w:sz w:val="21"/>
              </w:rPr>
              <w:t>6、税金执行陕建发〔2019〕45号文件。</w:t>
            </w:r>
          </w:p>
          <w:p>
            <w:pPr>
              <w:pStyle w:val="null3"/>
              <w:jc w:val="both"/>
            </w:pPr>
            <w:r>
              <w:rPr>
                <w:rFonts w:ascii="仿宋_GB2312" w:hAnsi="仿宋_GB2312" w:cs="仿宋_GB2312" w:eastAsia="仿宋_GB2312"/>
                <w:sz w:val="21"/>
              </w:rPr>
              <w:t>7、安全</w:t>
            </w:r>
            <w:r>
              <w:rPr>
                <w:rFonts w:ascii="仿宋_GB2312" w:hAnsi="仿宋_GB2312" w:cs="仿宋_GB2312" w:eastAsia="仿宋_GB2312"/>
                <w:sz w:val="21"/>
              </w:rPr>
              <w:t>及文明施工措施费属不可竞争费用，按规定费率计入报价。</w:t>
            </w:r>
          </w:p>
          <w:p>
            <w:pPr>
              <w:pStyle w:val="null3"/>
              <w:jc w:val="both"/>
            </w:pPr>
            <w:r>
              <w:rPr>
                <w:rFonts w:ascii="仿宋_GB2312" w:hAnsi="仿宋_GB2312" w:cs="仿宋_GB2312" w:eastAsia="仿宋_GB2312"/>
                <w:sz w:val="21"/>
              </w:rPr>
              <w:t>8、建筑安全生产责任险保险费用执行陕建发【2020】1097号文件。</w:t>
            </w:r>
          </w:p>
          <w:p>
            <w:pPr>
              <w:pStyle w:val="null3"/>
              <w:jc w:val="both"/>
            </w:pPr>
            <w:r>
              <w:rPr>
                <w:rFonts w:ascii="仿宋_GB2312" w:hAnsi="仿宋_GB2312" w:cs="仿宋_GB2312" w:eastAsia="仿宋_GB2312"/>
                <w:sz w:val="21"/>
              </w:rPr>
              <w:t>9、计价软件采用广联达云计价平台GCCP6.0，版本为6.4100.23.122。</w:t>
            </w:r>
          </w:p>
          <w:p>
            <w:pPr>
              <w:pStyle w:val="null3"/>
              <w:jc w:val="both"/>
            </w:pPr>
            <w:r>
              <w:rPr>
                <w:rFonts w:ascii="仿宋_GB2312" w:hAnsi="仿宋_GB2312" w:cs="仿宋_GB2312" w:eastAsia="仿宋_GB2312"/>
                <w:sz w:val="21"/>
              </w:rPr>
              <w:t>10、材料价依据《咸阳工程信息造价》2025年第3期，信息价没有的参考市场价。</w:t>
            </w:r>
          </w:p>
          <w:p>
            <w:pPr>
              <w:pStyle w:val="null3"/>
              <w:jc w:val="both"/>
            </w:pPr>
            <w:r>
              <w:rPr>
                <w:rFonts w:ascii="仿宋_GB2312" w:hAnsi="仿宋_GB2312" w:cs="仿宋_GB2312" w:eastAsia="仿宋_GB2312"/>
                <w:sz w:val="21"/>
              </w:rPr>
              <w:t>二、其他说明</w:t>
            </w:r>
          </w:p>
          <w:p>
            <w:pPr>
              <w:pStyle w:val="null3"/>
              <w:jc w:val="both"/>
            </w:pPr>
            <w:r>
              <w:rPr>
                <w:rFonts w:ascii="仿宋_GB2312" w:hAnsi="仿宋_GB2312" w:cs="仿宋_GB2312" w:eastAsia="仿宋_GB2312"/>
                <w:sz w:val="21"/>
              </w:rPr>
              <w:t>1.实地测量多功能教室室内结构板下净高约3700mm，梁下约3200mm；</w:t>
            </w:r>
          </w:p>
          <w:p>
            <w:pPr>
              <w:pStyle w:val="null3"/>
              <w:jc w:val="both"/>
            </w:pPr>
            <w:r>
              <w:rPr>
                <w:rFonts w:ascii="仿宋_GB2312" w:hAnsi="仿宋_GB2312" w:cs="仿宋_GB2312" w:eastAsia="仿宋_GB2312"/>
                <w:sz w:val="21"/>
              </w:rPr>
              <w:t>2.新建控制室混凝土板的工程做法厚度按120mm计入；</w:t>
            </w:r>
          </w:p>
          <w:p>
            <w:pPr>
              <w:pStyle w:val="null3"/>
              <w:jc w:val="both"/>
            </w:pPr>
            <w:r>
              <w:rPr>
                <w:rFonts w:ascii="仿宋_GB2312" w:hAnsi="仿宋_GB2312" w:cs="仿宋_GB2312" w:eastAsia="仿宋_GB2312"/>
                <w:sz w:val="21"/>
              </w:rPr>
              <w:t>3.多功能教室室内护窗栏杆按不锈钢栏杆计入；</w:t>
            </w:r>
          </w:p>
          <w:p>
            <w:pPr>
              <w:pStyle w:val="null3"/>
              <w:jc w:val="both"/>
            </w:pPr>
            <w:r>
              <w:rPr>
                <w:rFonts w:ascii="仿宋_GB2312" w:hAnsi="仿宋_GB2312" w:cs="仿宋_GB2312" w:eastAsia="仿宋_GB2312"/>
                <w:sz w:val="21"/>
              </w:rPr>
              <w:t>4.多功能教室室内天花布置图中12厚穿孔石膏板的范围及做法按剖面图DT-03计入；</w:t>
            </w:r>
          </w:p>
          <w:p>
            <w:pPr>
              <w:pStyle w:val="null3"/>
              <w:jc w:val="both"/>
            </w:pPr>
            <w:r>
              <w:rPr>
                <w:rFonts w:ascii="仿宋_GB2312" w:hAnsi="仿宋_GB2312" w:cs="仿宋_GB2312" w:eastAsia="仿宋_GB2312"/>
                <w:sz w:val="21"/>
              </w:rPr>
              <w:t>5.教辅用房室内原装饰装修拆除及建筑垃圾外运暂未计入；</w:t>
            </w:r>
          </w:p>
          <w:p>
            <w:pPr>
              <w:pStyle w:val="null3"/>
              <w:jc w:val="both"/>
            </w:pPr>
            <w:r>
              <w:rPr>
                <w:rFonts w:ascii="仿宋_GB2312" w:hAnsi="仿宋_GB2312" w:cs="仿宋_GB2312" w:eastAsia="仿宋_GB2312"/>
                <w:sz w:val="21"/>
              </w:rPr>
              <w:t>6.混凝土按商品混凝土计入；</w:t>
            </w:r>
          </w:p>
          <w:p>
            <w:pPr>
              <w:pStyle w:val="null3"/>
              <w:jc w:val="both"/>
            </w:pPr>
            <w:r>
              <w:rPr>
                <w:rFonts w:ascii="仿宋_GB2312" w:hAnsi="仿宋_GB2312" w:cs="仿宋_GB2312" w:eastAsia="仿宋_GB2312"/>
                <w:sz w:val="21"/>
              </w:rPr>
              <w:t>7.砂浆均按预拌砂浆计入；</w:t>
            </w:r>
          </w:p>
          <w:p>
            <w:pPr>
              <w:pStyle w:val="null3"/>
              <w:jc w:val="both"/>
            </w:pPr>
            <w:r>
              <w:rPr>
                <w:rFonts w:ascii="仿宋_GB2312" w:hAnsi="仿宋_GB2312" w:cs="仿宋_GB2312" w:eastAsia="仿宋_GB2312"/>
                <w:sz w:val="21"/>
              </w:rPr>
              <w:t>8.暂列金按80000元计入。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符合国家及地方现行验收规范合格标准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完整的财务审计报告（成立时间至提交磋商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财务情况</w:t>
            </w:r>
          </w:p>
        </w:tc>
        <w:tc>
          <w:tcPr>
            <w:tcW w:type="dxa" w:w="3322"/>
          </w:tcPr>
          <w:p>
            <w:pPr>
              <w:pStyle w:val="null3"/>
            </w:pPr>
            <w:r>
              <w:rPr>
                <w:rFonts w:ascii="仿宋_GB2312" w:hAnsi="仿宋_GB2312" w:cs="仿宋_GB2312" w:eastAsia="仿宋_GB2312"/>
              </w:rPr>
              <w:t>提供2024年度经审计完整的财务审计报告（成立时间至提交磋商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法定代表人授权书（附法定代表人、被授权人身份证复印件及授权代表在本单位缴纳社保的证明），法定代表人直接参加磋商，须提供法定代表人身份证明、法定代表人身份证复印件及在本单位缴纳社保的证明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供应商须具备建设行政主管部门颁发的建筑工程施工总承包三级及以上资质和具备钢结构工程专业承包三级及以上资质，并具备建设行政主管部门颁发的安全生产许可证；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证书等级：二级注册建造师 专业：建筑工程 补充说明：具备安全考核B证，并提供无在建工程承诺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首次磋商报价一览表.docx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已标价工程量清单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响应文件封面 供应商认为需要提交的其他资料.docx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首次磋商报价一览表.docx 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商务、技术偏离表.docx 响应函 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响应文件封面 首次磋商报价一览表.docx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应满足磋商文件中要求的质量</w:t>
            </w:r>
          </w:p>
        </w:tc>
        <w:tc>
          <w:tcPr>
            <w:tcW w:type="dxa" w:w="1661"/>
          </w:tcPr>
          <w:p>
            <w:pPr>
              <w:pStyle w:val="null3"/>
            </w:pPr>
            <w:r>
              <w:rPr>
                <w:rFonts w:ascii="仿宋_GB2312" w:hAnsi="仿宋_GB2312" w:cs="仿宋_GB2312" w:eastAsia="仿宋_GB2312"/>
              </w:rPr>
              <w:t>响应文件封面 首次磋商报价一览表.docx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供应商的项目经理部组成及劳动力投入配备合理，完全满足工作要求，得12分； 供应商的项目经理部组成及劳动力投入配备较为合理，基本满足工作要求，得8分； 供应商的项目经理部组成及劳动力投入配备不合理、配置较差，未能完全满足工作要求,得4分。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安全、文明施工措施、环境保护措施及确保治污减霾和防尘污染的技术组织措施</w:t>
            </w:r>
          </w:p>
        </w:tc>
        <w:tc>
          <w:tcPr>
            <w:tcW w:type="dxa" w:w="2492"/>
          </w:tcPr>
          <w:p>
            <w:pPr>
              <w:pStyle w:val="null3"/>
            </w:pPr>
            <w:r>
              <w:rPr>
                <w:rFonts w:ascii="仿宋_GB2312" w:hAnsi="仿宋_GB2312" w:cs="仿宋_GB2312" w:eastAsia="仿宋_GB2312"/>
              </w:rPr>
              <w:t>供应商有完善的安全、文明施工措施、环境保护措施及确保治污减霾和防尘污染的技术组织措施，措施编制完整合理、可操作性强，得9分； 供应商的安全、文明施工措施、环境保护措施及确保治污减霾和防尘污染的技术组织措施基本合理、操作性一般，得6分； 供应商提供的安全、文明施工措施、环境保护措施及确保治污减霾和防尘污染的技术组织措施不尽完善、操作性不强、不能完全满足工作要求，得3分。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施工质量及施工进度保证措施、明确的项目职责与分工</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供应商有完善的施工质量及施工进度保证措施、明确的项目职责与分工，能有效地保证服务质量，确保按时按量完成服务工作，得9分； 供应商的施工质量及施工进度保证措施完善、程序措施较为规范合理，得6分； 供应商的施工质量及施工进度保证措施不尽完善、不能完全满足工作要求，得3分。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具有详细、实用、可行的突发事件处理预案措施，包括但不限于工伤事故、劳务纠纷；突发事件应急预案，详细、实用、切实可行性强得9分； 突发事件应急预案，较详细、较实用、可行性较强得6分； 突发事件应急预案，实用性一般，可行性较弱得3分。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提供的项目施工方案详细、合理、全面，得9分； 提供的项目施工方案较详细、基本合理，得6分； 提供的项目施工方案有缺陷或不太合理，前后矛盾，得3分。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主要材料供应计划及施工机械配备投入计划</w:t>
            </w:r>
          </w:p>
        </w:tc>
        <w:tc>
          <w:tcPr>
            <w:tcW w:type="dxa" w:w="2492"/>
          </w:tcPr>
          <w:p>
            <w:pPr>
              <w:pStyle w:val="null3"/>
            </w:pPr>
            <w:r>
              <w:rPr>
                <w:rFonts w:ascii="仿宋_GB2312" w:hAnsi="仿宋_GB2312" w:cs="仿宋_GB2312" w:eastAsia="仿宋_GB2312"/>
              </w:rPr>
              <w:t>供应商所制定的主要材料供应计划及施工机械配备投入计划详细合理，可操作性强，机械工具配置齐全、情况良好。得9分； 供应商所制定的主要材料供应计划及施工机械配备投入计划较详细合理，可操作性一般，基本满足工作要求，得6分。 供应商所制定的主要材料供应计划及施工机械配备投入计划基本合理，操作性差，不能满足工作要求，得3分。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根据供应商提供的服务承诺（包括但不限于工期、工程质量、安全方面）的情况赋分。描述详尽、具体、可行性强得9分； 描述较详尽、较具体、可行性一般得6分； 描述简单、不具体计3分。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2022年08月01日至今类似项目业绩，每提供1份得2分，最高得4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30分。3.磋商报价得分=（磋商基准价/最终磋商报价）×30的公式计算得分。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详见附件：首次磋商报价一览表.docx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详见附件：第8章 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