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版本号：SXLZ-2025-15320250821001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恶劣天气高影响路段市级提升省级改造项目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SXLZ-2025-153</w:t>
      </w:r>
      <w:r>
        <w:br/>
      </w:r>
      <w:r>
        <w:br/>
      </w:r>
      <w:r>
        <w:br/>
      </w:r>
    </w:p>
    <w:p>
      <w:pPr>
        <w:pStyle w:val="null3"/>
        <w:jc w:val="center"/>
        <w:outlineLvl w:val="2"/>
      </w:pPr>
      <w:r>
        <w:rPr>
          <w:rFonts w:ascii="仿宋_GB2312" w:hAnsi="仿宋_GB2312" w:cs="仿宋_GB2312" w:eastAsia="仿宋_GB2312"/>
          <w:sz w:val="28"/>
          <w:b/>
        </w:rPr>
        <w:t>三原县公安局交通管理大队</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三原县公安局交通管理大队</w:t>
      </w:r>
      <w:r>
        <w:rPr>
          <w:rFonts w:ascii="仿宋_GB2312" w:hAnsi="仿宋_GB2312" w:cs="仿宋_GB2312" w:eastAsia="仿宋_GB2312"/>
        </w:rPr>
        <w:t>委托，拟对</w:t>
      </w:r>
      <w:r>
        <w:rPr>
          <w:rFonts w:ascii="仿宋_GB2312" w:hAnsi="仿宋_GB2312" w:cs="仿宋_GB2312" w:eastAsia="仿宋_GB2312"/>
        </w:rPr>
        <w:t>恶劣天气高影响路段市级提升省级改造项目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恶劣天气高影响路段市级提升省级改造项目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恶劣天气高影响路段市级提升省级改造项目内容(具体详见竞争性磋商文件)。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采购包1（恶劣天气高影响路段市级提升省级改造项目）：属于专门面向中小企业采购。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2023或2024年度经审计完整的财务审计报告（成立时间至提交投标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信用查询截图：供应商不得为“信用中国”网站（www.creditchina.gov.cn）中列入失信被执行人、重大税收违法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三原县公安局交通管理大队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陕西省咸阳市三原县城关街道办宴友思大街东段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13892000183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15309270789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经与采购单位协商，根据成交金额，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收取，代理服务费不足5000元按5000元计取，由成交方向陕西龙泽项目咨询管理有限公司一次性支付。 2、代理服务费账户： 户名：陕西龙泽项目咨询管理有限公司； 开户行：中国建设银行股份有限公司西安雁塔南路南段支行； 账号： 61050111583800000087 ； 注：请成交供应商按照要求将服务费汇入以上指定账户，并备注“XX项目服务费”，如因自身原因发生错误，产生的不利后果均由供应商自行承担。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三原县公安局交通管理大队</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三原县公安局交通管理大队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三原县公安局交通管理大队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行业标准。2、交付竣工验收的工程，必须符合规定的工程质量标准，有完整的工程技术经济资料和经签署的工程保修书，并具备国家规定的其他竣工条件。工程竣工经验收合格后，方可交付使用；未 经验收或者验收不合格的，不得交付使用。3、验收结果合格的，采购人应向成交供应商出具履约验收报告，成交供应商凭验收报告办理相关手续。4、验收结果不合格的，履约保证金将不予退还，给采购人造成的损失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联系电话：15309270789</w:t>
      </w:r>
    </w:p>
    <w:p>
      <w:pPr>
        <w:pStyle w:val="null3"/>
      </w:pPr>
      <w:r>
        <w:rPr>
          <w:rFonts w:ascii="仿宋_GB2312" w:hAnsi="仿宋_GB2312" w:cs="仿宋_GB2312" w:eastAsia="仿宋_GB2312"/>
        </w:rPr>
        <w:t>地址：陕西省西安市国家民用航天产业基地神舟五路与东长安街交汇处东南角航天城中心广场1号楼708室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恶劣天气高影响路段市级提升省级改造项目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标的名称：恶劣天气高影响路段市级提升省级改造项目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1、项目名称：恶劣天气高影响路段市级提升省级改造项目。</w:t>
            </w:r>
          </w:p>
          <w:p>
            <w:pPr>
              <w:pStyle w:val="null3"/>
              <w:jc w:val="both"/>
            </w:pPr>
            <w:r>
              <w:rPr>
                <w:rFonts w:ascii="仿宋_GB2312" w:hAnsi="仿宋_GB2312" w:cs="仿宋_GB2312" w:eastAsia="仿宋_GB2312"/>
              </w:rPr>
              <w:t>2、项目范围：为了减少辖区交通事故，拟对恶劣天气高影响路段进行市级提升省级改造。</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二、建设地点、计划工期、工程质量、质量保修期</w:t>
            </w:r>
          </w:p>
          <w:p>
            <w:pPr>
              <w:pStyle w:val="null3"/>
            </w:pPr>
            <w:r>
              <w:rPr>
                <w:rFonts w:ascii="仿宋_GB2312" w:hAnsi="仿宋_GB2312" w:cs="仿宋_GB2312" w:eastAsia="仿宋_GB2312"/>
              </w:rPr>
              <w:t>1、建设地点：采购人指定地点。</w:t>
            </w:r>
          </w:p>
          <w:p>
            <w:pPr>
              <w:pStyle w:val="null3"/>
            </w:pPr>
            <w:r>
              <w:rPr>
                <w:rFonts w:ascii="仿宋_GB2312" w:hAnsi="仿宋_GB2312" w:cs="仿宋_GB2312" w:eastAsia="仿宋_GB2312"/>
              </w:rPr>
              <w:t>2、计划工期：自合同签订后25个日历日内。</w:t>
            </w:r>
          </w:p>
          <w:p>
            <w:pPr>
              <w:pStyle w:val="null3"/>
            </w:pPr>
            <w:r>
              <w:rPr>
                <w:rFonts w:ascii="仿宋_GB2312" w:hAnsi="仿宋_GB2312" w:cs="仿宋_GB2312" w:eastAsia="仿宋_GB2312"/>
              </w:rPr>
              <w:t>3、工程质量：合格。</w:t>
            </w:r>
          </w:p>
          <w:p>
            <w:pPr>
              <w:pStyle w:val="null3"/>
              <w:jc w:val="both"/>
            </w:pPr>
            <w:r>
              <w:rPr>
                <w:rFonts w:ascii="仿宋_GB2312" w:hAnsi="仿宋_GB2312" w:cs="仿宋_GB2312" w:eastAsia="仿宋_GB2312"/>
              </w:rPr>
              <w:t>4、质量保修期：保修期为1年，保修期间乙方应在接到甲方维修通知后5日内派人维修，否则甲方可委托其他单位或人员维修，因乙方原因造成的返修费用，由乙方承担，因乙方之外原因返修的经济支出由甲方承担。</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三、付款方式</w:t>
            </w:r>
          </w:p>
          <w:p>
            <w:pPr>
              <w:pStyle w:val="null3"/>
              <w:jc w:val="both"/>
            </w:pPr>
            <w:r>
              <w:rPr>
                <w:rFonts w:ascii="仿宋_GB2312" w:hAnsi="仿宋_GB2312" w:cs="仿宋_GB2312" w:eastAsia="仿宋_GB2312"/>
              </w:rPr>
              <w:t>完成所有建设内容且工程验收合格后，采购人支付合同价款的90%；工程约定质保期满后，若无质量问题，采购人支付剩余全部合同价款。</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四、施工要求</w:t>
            </w:r>
          </w:p>
          <w:p>
            <w:pPr>
              <w:pStyle w:val="null3"/>
            </w:pPr>
            <w:r>
              <w:rPr>
                <w:rFonts w:ascii="仿宋_GB2312" w:hAnsi="仿宋_GB2312" w:cs="仿宋_GB2312" w:eastAsia="仿宋_GB2312"/>
              </w:rPr>
              <w:t>1、严格执行国家现行规范、标准。</w:t>
            </w:r>
          </w:p>
          <w:p>
            <w:pPr>
              <w:pStyle w:val="null3"/>
            </w:pPr>
            <w:r>
              <w:rPr>
                <w:rFonts w:ascii="仿宋_GB2312" w:hAnsi="仿宋_GB2312" w:cs="仿宋_GB2312" w:eastAsia="仿宋_GB2312"/>
              </w:rPr>
              <w:t>2、明确职责，严格岗位责任，齐心协力做好工作，确保工程按计划进行。</w:t>
            </w:r>
          </w:p>
          <w:p>
            <w:pPr>
              <w:pStyle w:val="null3"/>
              <w:jc w:val="both"/>
            </w:pPr>
            <w:r>
              <w:rPr>
                <w:rFonts w:ascii="仿宋_GB2312" w:hAnsi="仿宋_GB2312" w:cs="仿宋_GB2312" w:eastAsia="仿宋_GB2312"/>
              </w:rPr>
              <w:t>3、加强管理，确保施工中的人员安全。</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五、技术参数要求</w:t>
            </w:r>
          </w:p>
          <w:tbl>
            <w:tblPr>
              <w:tblBorders>
                <w:top w:val="none" w:color="000000" w:sz="4"/>
                <w:left w:val="none" w:color="000000" w:sz="4"/>
                <w:bottom w:val="none" w:color="000000" w:sz="4"/>
                <w:right w:val="none" w:color="000000" w:sz="4"/>
                <w:insideH w:val="none"/>
                <w:insideV w:val="none"/>
              </w:tblBorders>
            </w:tblPr>
            <w:tblGrid>
              <w:gridCol w:w="229"/>
              <w:gridCol w:w="488"/>
              <w:gridCol w:w="1435"/>
              <w:gridCol w:w="203"/>
              <w:gridCol w:w="198"/>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名称</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参数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1、单点测速系统</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24G测速雷达</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测速范围：≥10-250 Km/h；</w:t>
                  </w:r>
                  <w:r>
                    <w:br/>
                  </w:r>
                  <w:r>
                    <w:rPr>
                      <w:rFonts w:ascii="仿宋_GB2312" w:hAnsi="仿宋_GB2312" w:cs="仿宋_GB2312" w:eastAsia="仿宋_GB2312"/>
                      <w:sz w:val="19"/>
                      <w:color w:val="000000"/>
                    </w:rPr>
                    <w:t>测速精度：≤-4～0 Km/h；</w:t>
                  </w:r>
                  <w:r>
                    <w:br/>
                  </w:r>
                  <w:r>
                    <w:rPr>
                      <w:rFonts w:ascii="仿宋_GB2312" w:hAnsi="仿宋_GB2312" w:cs="仿宋_GB2312" w:eastAsia="仿宋_GB2312"/>
                      <w:sz w:val="19"/>
                      <w:color w:val="000000"/>
                    </w:rPr>
                    <w:t>监控车道数：单车道；</w:t>
                  </w:r>
                  <w:r>
                    <w:br/>
                  </w:r>
                  <w:r>
                    <w:rPr>
                      <w:rFonts w:ascii="仿宋_GB2312" w:hAnsi="仿宋_GB2312" w:cs="仿宋_GB2312" w:eastAsia="仿宋_GB2312"/>
                      <w:sz w:val="19"/>
                      <w:color w:val="000000"/>
                    </w:rPr>
                    <w:t>探测范围：不小于18～28 米（安装高度6m）；</w:t>
                  </w:r>
                  <w:r>
                    <w:br/>
                  </w:r>
                  <w:r>
                    <w:rPr>
                      <w:rFonts w:ascii="仿宋_GB2312" w:hAnsi="仿宋_GB2312" w:cs="仿宋_GB2312" w:eastAsia="仿宋_GB2312"/>
                      <w:sz w:val="19"/>
                      <w:color w:val="000000"/>
                    </w:rPr>
                    <w:t>距离精度：≤± 1 米；</w:t>
                  </w:r>
                  <w:r>
                    <w:br/>
                  </w:r>
                  <w:r>
                    <w:rPr>
                      <w:rFonts w:ascii="仿宋_GB2312" w:hAnsi="仿宋_GB2312" w:cs="仿宋_GB2312" w:eastAsia="仿宋_GB2312"/>
                      <w:sz w:val="19"/>
                      <w:color w:val="000000"/>
                    </w:rPr>
                    <w:t>供电方式：12V DC；</w:t>
                  </w:r>
                  <w:r>
                    <w:br/>
                  </w:r>
                  <w:r>
                    <w:rPr>
                      <w:rFonts w:ascii="仿宋_GB2312" w:hAnsi="仿宋_GB2312" w:cs="仿宋_GB2312" w:eastAsia="仿宋_GB2312"/>
                      <w:sz w:val="19"/>
                      <w:color w:val="000000"/>
                    </w:rPr>
                    <w:t>功耗：≤2W。</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配套线缆</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含电源线（含附件）、控制线、网线等。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专线光纤</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专线光纤。</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设备安装调试</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含设备安装、调试、升降车租赁等。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2、车距测距抓拍系统（2处双向）</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车距抓拍像机（内含雷达）</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视频分辨率：4096×2160/3840×2160/3392×2008/1080P（1920×1080）/UXGA（1600×1200）/720P（1280×720）/D1（704× 576）/CIF（352×288）；</w:t>
                  </w:r>
                  <w:r>
                    <w:br/>
                  </w:r>
                  <w:r>
                    <w:rPr>
                      <w:rFonts w:ascii="仿宋_GB2312" w:hAnsi="仿宋_GB2312" w:cs="仿宋_GB2312" w:eastAsia="仿宋_GB2312"/>
                      <w:sz w:val="19"/>
                      <w:color w:val="000000"/>
                    </w:rPr>
                    <w:t>网络接口：不少于1个RJ-45以太网口，支持10/100/1000M网络数据传输；</w:t>
                  </w:r>
                  <w:r>
                    <w:br/>
                  </w:r>
                  <w:r>
                    <w:rPr>
                      <w:rFonts w:ascii="仿宋_GB2312" w:hAnsi="仿宋_GB2312" w:cs="仿宋_GB2312" w:eastAsia="仿宋_GB2312"/>
                      <w:sz w:val="19"/>
                      <w:color w:val="000000"/>
                    </w:rPr>
                    <w:t>视频帧率：最大支持50fps；默认双快门，主码流≥4096×2160@25fps，辅码流≥704×576@25fps；</w:t>
                  </w:r>
                  <w:r>
                    <w:br/>
                  </w:r>
                  <w:r>
                    <w:rPr>
                      <w:rFonts w:ascii="仿宋_GB2312" w:hAnsi="仿宋_GB2312" w:cs="仿宋_GB2312" w:eastAsia="仿宋_GB2312"/>
                      <w:sz w:val="19"/>
                      <w:color w:val="000000"/>
                    </w:rPr>
                    <w:t>传感器类型：1英寸GS-CMOS；</w:t>
                  </w:r>
                  <w:r>
                    <w:br/>
                  </w:r>
                  <w:r>
                    <w:rPr>
                      <w:rFonts w:ascii="仿宋_GB2312" w:hAnsi="仿宋_GB2312" w:cs="仿宋_GB2312" w:eastAsia="仿宋_GB2312"/>
                      <w:sz w:val="19"/>
                      <w:color w:val="000000"/>
                    </w:rPr>
                    <w:t>供电方式：36V DC±10%；</w:t>
                  </w:r>
                  <w:r>
                    <w:br/>
                  </w:r>
                  <w:r>
                    <w:rPr>
                      <w:rFonts w:ascii="仿宋_GB2312" w:hAnsi="仿宋_GB2312" w:cs="仿宋_GB2312" w:eastAsia="仿宋_GB2312"/>
                      <w:sz w:val="19"/>
                      <w:color w:val="000000"/>
                    </w:rPr>
                    <w:t>视频压缩标准：H.265；H.264B；H.264M；H.264H；MJPEG；</w:t>
                  </w:r>
                  <w:r>
                    <w:br/>
                  </w:r>
                  <w:r>
                    <w:rPr>
                      <w:rFonts w:ascii="仿宋_GB2312" w:hAnsi="仿宋_GB2312" w:cs="仿宋_GB2312" w:eastAsia="仿宋_GB2312"/>
                      <w:sz w:val="19"/>
                      <w:color w:val="000000"/>
                    </w:rPr>
                    <w:t>镜头：标配25mm定焦镜头；</w:t>
                  </w:r>
                  <w:r>
                    <w:br/>
                  </w:r>
                  <w:r>
                    <w:rPr>
                      <w:rFonts w:ascii="仿宋_GB2312" w:hAnsi="仿宋_GB2312" w:cs="仿宋_GB2312" w:eastAsia="仿宋_GB2312"/>
                      <w:sz w:val="19"/>
                      <w:color w:val="000000"/>
                    </w:rPr>
                    <w:t>国密功能：支持国密GB 35114-A级功能；</w:t>
                  </w:r>
                  <w:r>
                    <w:br/>
                  </w:r>
                  <w:r>
                    <w:rPr>
                      <w:rFonts w:ascii="仿宋_GB2312" w:hAnsi="仿宋_GB2312" w:cs="仿宋_GB2312" w:eastAsia="仿宋_GB2312"/>
                      <w:sz w:val="19"/>
                      <w:color w:val="000000"/>
                    </w:rPr>
                    <w:t>存储接口：不少于1个，最大支持256GB TF卡本地存储；</w:t>
                  </w:r>
                  <w:r>
                    <w:br/>
                  </w:r>
                  <w:r>
                    <w:rPr>
                      <w:rFonts w:ascii="仿宋_GB2312" w:hAnsi="仿宋_GB2312" w:cs="仿宋_GB2312" w:eastAsia="仿宋_GB2312"/>
                      <w:sz w:val="19"/>
                      <w:color w:val="000000"/>
                    </w:rPr>
                    <w:t>功耗：≤62W；</w:t>
                  </w:r>
                  <w:r>
                    <w:br/>
                  </w:r>
                  <w:r>
                    <w:rPr>
                      <w:rFonts w:ascii="仿宋_GB2312" w:hAnsi="仿宋_GB2312" w:cs="仿宋_GB2312" w:eastAsia="仿宋_GB2312"/>
                      <w:sz w:val="19"/>
                      <w:color w:val="000000"/>
                    </w:rPr>
                    <w:t>图片合成：支持1、2、3、4张图片合成；</w:t>
                  </w:r>
                  <w:r>
                    <w:br/>
                  </w:r>
                  <w:r>
                    <w:rPr>
                      <w:rFonts w:ascii="仿宋_GB2312" w:hAnsi="仿宋_GB2312" w:cs="仿宋_GB2312" w:eastAsia="仿宋_GB2312"/>
                      <w:sz w:val="19"/>
                      <w:color w:val="000000"/>
                    </w:rPr>
                    <w:t>图像分辨率：≥4096×2160；</w:t>
                  </w:r>
                  <w:r>
                    <w:br/>
                  </w:r>
                  <w:r>
                    <w:rPr>
                      <w:rFonts w:ascii="仿宋_GB2312" w:hAnsi="仿宋_GB2312" w:cs="仿宋_GB2312" w:eastAsia="仿宋_GB2312"/>
                      <w:sz w:val="19"/>
                      <w:color w:val="000000"/>
                    </w:rPr>
                    <w:t>视频码率：H.264：32kbps～32767kbps；H.265：32kbps～32767kbps；MJPEG：512kbps～32767kbps。</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电警频闪灯</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光源类型：不少于16颗优质大功率LED；</w:t>
                  </w:r>
                  <w:r>
                    <w:br/>
                  </w:r>
                  <w:r>
                    <w:rPr>
                      <w:rFonts w:ascii="仿宋_GB2312" w:hAnsi="仿宋_GB2312" w:cs="仿宋_GB2312" w:eastAsia="仿宋_GB2312"/>
                      <w:sz w:val="19"/>
                      <w:color w:val="000000"/>
                    </w:rPr>
                    <w:t>发光角度≥10°；</w:t>
                  </w:r>
                  <w:r>
                    <w:br/>
                  </w:r>
                  <w:r>
                    <w:rPr>
                      <w:rFonts w:ascii="仿宋_GB2312" w:hAnsi="仿宋_GB2312" w:cs="仿宋_GB2312" w:eastAsia="仿宋_GB2312"/>
                      <w:sz w:val="19"/>
                      <w:color w:val="000000"/>
                    </w:rPr>
                    <w:t>覆盖范围：单车道环境补光灯；</w:t>
                  </w:r>
                  <w:r>
                    <w:br/>
                  </w:r>
                  <w:r>
                    <w:rPr>
                      <w:rFonts w:ascii="仿宋_GB2312" w:hAnsi="仿宋_GB2312" w:cs="仿宋_GB2312" w:eastAsia="仿宋_GB2312"/>
                      <w:sz w:val="19"/>
                      <w:color w:val="000000"/>
                    </w:rPr>
                    <w:t>补光范围不小于16米～25米；</w:t>
                  </w:r>
                  <w:r>
                    <w:br/>
                  </w:r>
                  <w:r>
                    <w:rPr>
                      <w:rFonts w:ascii="仿宋_GB2312" w:hAnsi="仿宋_GB2312" w:cs="仿宋_GB2312" w:eastAsia="仿宋_GB2312"/>
                      <w:sz w:val="19"/>
                      <w:color w:val="000000"/>
                    </w:rPr>
                    <w:t>触发方式：4V～6V电平量触发（高电平有效）；</w:t>
                  </w:r>
                  <w:r>
                    <w:br/>
                  </w:r>
                  <w:r>
                    <w:rPr>
                      <w:rFonts w:ascii="仿宋_GB2312" w:hAnsi="仿宋_GB2312" w:cs="仿宋_GB2312" w:eastAsia="仿宋_GB2312"/>
                      <w:sz w:val="19"/>
                      <w:color w:val="000000"/>
                    </w:rPr>
                    <w:t>触发信号：频率15～250HZ，占空比1%～39%，响应时间小于20US；</w:t>
                  </w:r>
                  <w:r>
                    <w:br/>
                  </w:r>
                  <w:r>
                    <w:rPr>
                      <w:rFonts w:ascii="仿宋_GB2312" w:hAnsi="仿宋_GB2312" w:cs="仿宋_GB2312" w:eastAsia="仿宋_GB2312"/>
                      <w:sz w:val="19"/>
                      <w:color w:val="000000"/>
                    </w:rPr>
                    <w:t>外壳材质金属铝；</w:t>
                  </w:r>
                  <w:r>
                    <w:br/>
                  </w:r>
                  <w:r>
                    <w:rPr>
                      <w:rFonts w:ascii="仿宋_GB2312" w:hAnsi="仿宋_GB2312" w:cs="仿宋_GB2312" w:eastAsia="仿宋_GB2312"/>
                      <w:sz w:val="19"/>
                      <w:color w:val="000000"/>
                    </w:rPr>
                    <w:t>电源：220VAC±10%；</w:t>
                  </w:r>
                  <w:r>
                    <w:br/>
                  </w:r>
                  <w:r>
                    <w:rPr>
                      <w:rFonts w:ascii="仿宋_GB2312" w:hAnsi="仿宋_GB2312" w:cs="仿宋_GB2312" w:eastAsia="仿宋_GB2312"/>
                      <w:sz w:val="19"/>
                      <w:color w:val="000000"/>
                    </w:rPr>
                    <w:t>防护等级：≥IP66。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多合一环保补光灯</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铝合金灯体，鳍片式散热结构，面罩采用特殊工艺的耐高温的PC材料； </w:t>
                  </w:r>
                  <w:r>
                    <w:br/>
                  </w:r>
                  <w:r>
                    <w:rPr>
                      <w:rFonts w:ascii="仿宋_GB2312" w:hAnsi="仿宋_GB2312" w:cs="仿宋_GB2312" w:eastAsia="仿宋_GB2312"/>
                      <w:sz w:val="19"/>
                      <w:color w:val="000000"/>
                    </w:rPr>
                    <w:t xml:space="preserve">应采用不少于24颗优质高亮度LED芯片； </w:t>
                  </w:r>
                  <w:r>
                    <w:br/>
                  </w:r>
                  <w:r>
                    <w:rPr>
                      <w:rFonts w:ascii="仿宋_GB2312" w:hAnsi="仿宋_GB2312" w:cs="仿宋_GB2312" w:eastAsia="仿宋_GB2312"/>
                      <w:sz w:val="19"/>
                      <w:color w:val="000000"/>
                    </w:rPr>
                    <w:t>配备LED格栅，有效减少周边光污染；</w:t>
                  </w:r>
                  <w:r>
                    <w:br/>
                  </w:r>
                  <w:r>
                    <w:rPr>
                      <w:rFonts w:ascii="仿宋_GB2312" w:hAnsi="仿宋_GB2312" w:cs="仿宋_GB2312" w:eastAsia="仿宋_GB2312"/>
                      <w:sz w:val="19"/>
                      <w:color w:val="000000"/>
                    </w:rPr>
                    <w:t>气体灯管应采用优质高性能氙气灯管；</w:t>
                  </w:r>
                  <w:r>
                    <w:br/>
                  </w:r>
                  <w:r>
                    <w:rPr>
                      <w:rFonts w:ascii="仿宋_GB2312" w:hAnsi="仿宋_GB2312" w:cs="仿宋_GB2312" w:eastAsia="仿宋_GB2312"/>
                      <w:sz w:val="19"/>
                      <w:color w:val="000000"/>
                    </w:rPr>
                    <w:t xml:space="preserve">采用步进电机功能，实现红外滤片的切换； </w:t>
                  </w:r>
                  <w:r>
                    <w:br/>
                  </w:r>
                  <w:r>
                    <w:rPr>
                      <w:rFonts w:ascii="仿宋_GB2312" w:hAnsi="仿宋_GB2312" w:cs="仿宋_GB2312" w:eastAsia="仿宋_GB2312"/>
                      <w:sz w:val="19"/>
                      <w:color w:val="000000"/>
                    </w:rPr>
                    <w:t xml:space="preserve">气体光源回电时间小于67ms，支持超速连拍； </w:t>
                  </w:r>
                  <w:r>
                    <w:br/>
                  </w:r>
                  <w:r>
                    <w:rPr>
                      <w:rFonts w:ascii="仿宋_GB2312" w:hAnsi="仿宋_GB2312" w:cs="仿宋_GB2312" w:eastAsia="仿宋_GB2312"/>
                      <w:sz w:val="19"/>
                      <w:color w:val="000000"/>
                    </w:rPr>
                    <w:t xml:space="preserve">气体补光控制需具有峰值抑制功能； </w:t>
                  </w:r>
                  <w:r>
                    <w:br/>
                  </w:r>
                  <w:r>
                    <w:rPr>
                      <w:rFonts w:ascii="仿宋_GB2312" w:hAnsi="仿宋_GB2312" w:cs="仿宋_GB2312" w:eastAsia="仿宋_GB2312"/>
                      <w:sz w:val="19"/>
                      <w:color w:val="000000"/>
                    </w:rPr>
                    <w:t>需支持LED灯频闪、白光气体爆闪，红外气体爆闪；需支持相机误触发保护功能，触发信号输入异常时自动保护、且自动恢复。</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智能交通管理终端</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内置指挥交通算法，支持对抓拍图片做处理、分析、上传；</w:t>
                  </w:r>
                  <w:r>
                    <w:br/>
                  </w:r>
                  <w:r>
                    <w:rPr>
                      <w:rFonts w:ascii="仿宋_GB2312" w:hAnsi="仿宋_GB2312" w:cs="仿宋_GB2312" w:eastAsia="仿宋_GB2312"/>
                      <w:sz w:val="19"/>
                      <w:color w:val="000000"/>
                    </w:rPr>
                    <w:t xml:space="preserve"> Linux 系统，集成 Python 开发环境和 C 语言开发环境， 提供标准 API 接口，方便项目二次开发应用；</w:t>
                  </w:r>
                  <w:r>
                    <w:br/>
                  </w:r>
                  <w:r>
                    <w:rPr>
                      <w:rFonts w:ascii="仿宋_GB2312" w:hAnsi="仿宋_GB2312" w:cs="仿宋_GB2312" w:eastAsia="仿宋_GB2312"/>
                      <w:sz w:val="19"/>
                      <w:color w:val="000000"/>
                    </w:rPr>
                    <w:t xml:space="preserve"> 系统需采用64位不小于1.5GHz高性能四核处理器；</w:t>
                  </w:r>
                  <w:r>
                    <w:br/>
                  </w:r>
                  <w:r>
                    <w:rPr>
                      <w:rFonts w:ascii="仿宋_GB2312" w:hAnsi="仿宋_GB2312" w:cs="仿宋_GB2312" w:eastAsia="仿宋_GB2312"/>
                      <w:sz w:val="19"/>
                      <w:color w:val="000000"/>
                    </w:rPr>
                    <w:t xml:space="preserve"> 需支持 OpenGL ES 1.0/2.0/3.2、OpenCL 2.0硬件加速器；</w:t>
                  </w:r>
                  <w:r>
                    <w:br/>
                  </w:r>
                  <w:r>
                    <w:rPr>
                      <w:rFonts w:ascii="仿宋_GB2312" w:hAnsi="仿宋_GB2312" w:cs="仿宋_GB2312" w:eastAsia="仿宋_GB2312"/>
                      <w:sz w:val="19"/>
                      <w:color w:val="000000"/>
                    </w:rPr>
                    <w:t xml:space="preserve"> 包含不少于 1个 USB、2 个 RS485、2 个 TTL、2路开关量、HDMI、网络、音频等多种形态接口，支持外接扫码枪、打印机、摄像头、键盘、鼠标、红外屏、液晶屏等设备；</w:t>
                  </w:r>
                  <w:r>
                    <w:br/>
                  </w:r>
                  <w:r>
                    <w:rPr>
                      <w:rFonts w:ascii="仿宋_GB2312" w:hAnsi="仿宋_GB2312" w:cs="仿宋_GB2312" w:eastAsia="仿宋_GB2312"/>
                      <w:sz w:val="19"/>
                      <w:color w:val="000000"/>
                    </w:rPr>
                    <w:t xml:space="preserve"> 支持 3G/4G 网络，支持 NTP，支持ty-ikuai、内置 RTC，支持定时重启、定时开关机功能。支持多种 LAN/WAN 连接方式，包括静态 IP、DHCP、3G/4G 等联网方式；</w:t>
                  </w:r>
                  <w:r>
                    <w:br/>
                  </w:r>
                  <w:r>
                    <w:rPr>
                      <w:rFonts w:ascii="仿宋_GB2312" w:hAnsi="仿宋_GB2312" w:cs="仿宋_GB2312" w:eastAsia="仿宋_GB2312"/>
                      <w:sz w:val="19"/>
                      <w:color w:val="000000"/>
                    </w:rPr>
                    <w:t xml:space="preserve"> 集成多种通信方式， 上行需支持 4G、WiFi、NET等，需支持有线和无线互为备份，需具有软件看门狗与硬件看门狗技术，当网关设备发异常时，智能进行软件唤醒或重启，将网关复位，确保网关实时正常运行；</w:t>
                  </w:r>
                  <w:r>
                    <w:br/>
                  </w:r>
                  <w:r>
                    <w:rPr>
                      <w:rFonts w:ascii="仿宋_GB2312" w:hAnsi="仿宋_GB2312" w:cs="仿宋_GB2312" w:eastAsia="仿宋_GB2312"/>
                      <w:sz w:val="19"/>
                      <w:color w:val="000000"/>
                    </w:rPr>
                    <w:t xml:space="preserve"> 支持多中心无线传输，内嵌标准 TCP/IP 协议栈，项目数据可实现多个中心同步无线传输，监测数据可同时上传到不同级别的各级政府和部门；</w:t>
                  </w:r>
                  <w:r>
                    <w:br/>
                  </w:r>
                  <w:r>
                    <w:rPr>
                      <w:rFonts w:ascii="仿宋_GB2312" w:hAnsi="仿宋_GB2312" w:cs="仿宋_GB2312" w:eastAsia="仿宋_GB2312"/>
                      <w:sz w:val="19"/>
                      <w:color w:val="000000"/>
                    </w:rPr>
                    <w:t xml:space="preserve"> 需支持网关设备断线重连、断电重启时，采集数据不会丢失，网关会将之前采集到且未发送成功的数据，在网络空闲的时候进行再次发送；</w:t>
                  </w:r>
                  <w:r>
                    <w:br/>
                  </w:r>
                  <w:r>
                    <w:rPr>
                      <w:rFonts w:ascii="仿宋_GB2312" w:hAnsi="仿宋_GB2312" w:cs="仿宋_GB2312" w:eastAsia="仿宋_GB2312"/>
                      <w:sz w:val="19"/>
                      <w:color w:val="000000"/>
                    </w:rPr>
                    <w:t xml:space="preserve"> 需支持本地或远程配置升级，对大量分布在各地的网关进行集中监测、配置、升级、诊断等；</w:t>
                  </w:r>
                </w:p>
                <w:p>
                  <w:pPr>
                    <w:pStyle w:val="null3"/>
                  </w:pPr>
                  <w:r>
                    <w:rPr>
                      <w:rFonts w:ascii="仿宋_GB2312" w:hAnsi="仿宋_GB2312" w:cs="仿宋_GB2312" w:eastAsia="仿宋_GB2312"/>
                      <w:sz w:val="19"/>
                      <w:color w:val="000000"/>
                    </w:rPr>
                    <w:t>采购人提供现有恶劣天气监测平台的开放性对接端口，供应商应完成与平台端口的对接（提供承诺书）。</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工业交换机</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工业以太网交换机；</w:t>
                  </w:r>
                </w:p>
                <w:p>
                  <w:pPr>
                    <w:pStyle w:val="null3"/>
                    <w:jc w:val="left"/>
                  </w:pPr>
                  <w:r>
                    <w:rPr>
                      <w:rFonts w:ascii="仿宋_GB2312" w:hAnsi="仿宋_GB2312" w:cs="仿宋_GB2312" w:eastAsia="仿宋_GB2312"/>
                      <w:sz w:val="19"/>
                      <w:color w:val="000000"/>
                    </w:rPr>
                    <w:t>不低于8个10M/100M端口；</w:t>
                  </w:r>
                </w:p>
                <w:p>
                  <w:pPr>
                    <w:pStyle w:val="null3"/>
                    <w:jc w:val="left"/>
                  </w:pPr>
                  <w:r>
                    <w:rPr>
                      <w:rFonts w:ascii="仿宋_GB2312" w:hAnsi="仿宋_GB2312" w:cs="仿宋_GB2312" w:eastAsia="仿宋_GB2312"/>
                      <w:sz w:val="19"/>
                      <w:color w:val="000000"/>
                    </w:rPr>
                    <w:t>支持HF-Ring自愈环技术，自愈时间≤10ms。</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抱杆箱</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室外防水箱；静电喷塑 抱箍、螺丝等辅材采用不锈钢材质；内含漏电保护器、插排等附件。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设备供网</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4G物联网，年套餐流量卡，20G流量/月，240G/年。</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设备供电</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根据指定地点进行取电。</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L型立杆</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L型八棱杆结构，立杆杆高不低于6.5米，横臂根据现场路面制作；</w:t>
                  </w:r>
                  <w:r>
                    <w:br/>
                  </w:r>
                  <w:r>
                    <w:rPr>
                      <w:rFonts w:ascii="仿宋_GB2312" w:hAnsi="仿宋_GB2312" w:cs="仿宋_GB2312" w:eastAsia="仿宋_GB2312"/>
                      <w:sz w:val="19"/>
                      <w:color w:val="000000"/>
                    </w:rPr>
                    <w:t>杆体：采用热镀锌工艺对表面进行防腐处理，镀锌层厚度不低于75um，立柱与横臂采用法兰联接，杆体设计美观大方，表面光洁、平整、无凹痕、划伤、裂缝。</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立杆地笼</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与立杆匹配的地笼。</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立杆基坑制作</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杆件基础开挖：水平地面施工；</w:t>
                  </w:r>
                  <w:r>
                    <w:br/>
                  </w:r>
                  <w:r>
                    <w:rPr>
                      <w:rFonts w:ascii="仿宋_GB2312" w:hAnsi="仿宋_GB2312" w:cs="仿宋_GB2312" w:eastAsia="仿宋_GB2312"/>
                      <w:sz w:val="19"/>
                      <w:color w:val="000000"/>
                    </w:rPr>
                    <w:t>混凝土标号：不低于C25，包含基础开挖，施工彩钢板围挡，地笼摆放，余土清理，基础浇灌，Φ75PE引管。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配套线缆</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含电源线（含附件）、控制线、网线等。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地面标线</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地面标线制作。</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处</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距离标识标牌</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根据要求制作。</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处</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标识牌立杆</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高度不低于4米，不低于φ89。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标识牌立杆基坑制作</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基础开挖：水平地面施工；</w:t>
                  </w:r>
                  <w:r>
                    <w:br/>
                  </w:r>
                  <w:r>
                    <w:rPr>
                      <w:rFonts w:ascii="仿宋_GB2312" w:hAnsi="仿宋_GB2312" w:cs="仿宋_GB2312" w:eastAsia="仿宋_GB2312"/>
                      <w:sz w:val="19"/>
                      <w:color w:val="000000"/>
                    </w:rPr>
                    <w:t>混凝土标号：不低于C25，包含基础开挖，施工彩钢板围挡，地笼摆放，余土清理，基础浇灌。</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处</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设备安装调试</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设备安装与调试。</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3、阶梯可变限速/防疲劳预警屏（3套为一组，三原清河大桥两侧）</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阵列式预警终端</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屏幕：色彩：1R1G；间距：≤10mm；显示面积：≥640*640mm；</w:t>
                  </w:r>
                  <w:r>
                    <w:br/>
                  </w:r>
                  <w:r>
                    <w:rPr>
                      <w:rFonts w:ascii="仿宋_GB2312" w:hAnsi="仿宋_GB2312" w:cs="仿宋_GB2312" w:eastAsia="仿宋_GB2312"/>
                      <w:sz w:val="19"/>
                      <w:color w:val="000000"/>
                    </w:rPr>
                    <w:t>射灯：光点距离：15º；激光输出功率(mW)：绿色≤6000mw、红色≤6000mw、蓝色≤8000mw；总功率</w:t>
                  </w:r>
                  <w:r>
                    <w:rPr>
                      <w:rFonts w:ascii="仿宋_GB2312" w:hAnsi="仿宋_GB2312" w:cs="仿宋_GB2312" w:eastAsia="仿宋_GB2312"/>
                      <w:sz w:val="19"/>
                      <w:color w:val="000000"/>
                    </w:rPr>
                    <w:t>：</w:t>
                  </w:r>
                  <w:r>
                    <w:rPr>
                      <w:rFonts w:ascii="仿宋_GB2312" w:hAnsi="仿宋_GB2312" w:cs="仿宋_GB2312" w:eastAsia="仿宋_GB2312"/>
                      <w:sz w:val="19"/>
                      <w:color w:val="000000"/>
                    </w:rPr>
                    <w:t>≤25W；激光输出波长(nm)</w:t>
                  </w:r>
                  <w:r>
                    <w:rPr>
                      <w:rFonts w:ascii="仿宋_GB2312" w:hAnsi="仿宋_GB2312" w:cs="仿宋_GB2312" w:eastAsia="仿宋_GB2312"/>
                      <w:sz w:val="19"/>
                      <w:color w:val="000000"/>
                    </w:rPr>
                    <w:t>：</w:t>
                  </w:r>
                  <w:r>
                    <w:rPr>
                      <w:rFonts w:ascii="仿宋_GB2312" w:hAnsi="仿宋_GB2312" w:cs="仿宋_GB2312" w:eastAsia="仿宋_GB2312"/>
                      <w:sz w:val="19"/>
                      <w:color w:val="000000"/>
                    </w:rPr>
                    <w:t>绿光520、红色638、蓝色450 ；</w:t>
                  </w:r>
                  <w:r>
                    <w:br/>
                  </w:r>
                  <w:r>
                    <w:rPr>
                      <w:rFonts w:ascii="仿宋_GB2312" w:hAnsi="仿宋_GB2312" w:cs="仿宋_GB2312" w:eastAsia="仿宋_GB2312"/>
                      <w:sz w:val="19"/>
                      <w:color w:val="000000"/>
                    </w:rPr>
                    <w:t>喇叭功率：≥200w；</w:t>
                  </w:r>
                  <w:r>
                    <w:br/>
                  </w:r>
                  <w:r>
                    <w:rPr>
                      <w:rFonts w:ascii="仿宋_GB2312" w:hAnsi="仿宋_GB2312" w:cs="仿宋_GB2312" w:eastAsia="仿宋_GB2312"/>
                      <w:sz w:val="19"/>
                      <w:color w:val="000000"/>
                    </w:rPr>
                    <w:t>警示灯：红蓝双色；支持多种闪烁模式；</w:t>
                  </w:r>
                  <w:r>
                    <w:br/>
                  </w:r>
                  <w:r>
                    <w:rPr>
                      <w:rFonts w:ascii="仿宋_GB2312" w:hAnsi="仿宋_GB2312" w:cs="仿宋_GB2312" w:eastAsia="仿宋_GB2312"/>
                      <w:sz w:val="19"/>
                      <w:color w:val="000000"/>
                    </w:rPr>
                    <w:t>雷达：工作发射频率：24.15GHz ±45MHz；</w:t>
                  </w:r>
                </w:p>
                <w:p>
                  <w:pPr>
                    <w:pStyle w:val="null3"/>
                    <w:jc w:val="left"/>
                  </w:pPr>
                  <w:r>
                    <w:rPr>
                      <w:rFonts w:ascii="仿宋_GB2312" w:hAnsi="仿宋_GB2312" w:cs="仿宋_GB2312" w:eastAsia="仿宋_GB2312"/>
                      <w:sz w:val="19"/>
                      <w:color w:val="000000"/>
                    </w:rPr>
                    <w:t>发射功率：≥5mW；反应时间：≤26ms；接口：RS485；探测角度：水平≥5.5°；垂直≥4.5°；</w:t>
                  </w:r>
                  <w:r>
                    <w:br/>
                  </w:r>
                  <w:r>
                    <w:rPr>
                      <w:rFonts w:ascii="仿宋_GB2312" w:hAnsi="仿宋_GB2312" w:cs="仿宋_GB2312" w:eastAsia="仿宋_GB2312"/>
                      <w:sz w:val="19"/>
                      <w:color w:val="000000"/>
                    </w:rPr>
                    <w:t>方向性：单向/双向，正反向识别功能：测速雷达应能区分来向和去向车辆；</w:t>
                  </w:r>
                  <w:r>
                    <w:br/>
                  </w:r>
                  <w:r>
                    <w:rPr>
                      <w:rFonts w:ascii="仿宋_GB2312" w:hAnsi="仿宋_GB2312" w:cs="仿宋_GB2312" w:eastAsia="仿宋_GB2312"/>
                      <w:sz w:val="19"/>
                      <w:color w:val="000000"/>
                    </w:rPr>
                    <w:t>检测距离：大车≥170米；小车≥150米；</w:t>
                  </w:r>
                  <w:r>
                    <w:br/>
                  </w:r>
                  <w:r>
                    <w:rPr>
                      <w:rFonts w:ascii="仿宋_GB2312" w:hAnsi="仿宋_GB2312" w:cs="仿宋_GB2312" w:eastAsia="仿宋_GB2312"/>
                      <w:sz w:val="19"/>
                      <w:color w:val="000000"/>
                    </w:rPr>
                    <w:t>测速量程：不小于1-250KM/H；</w:t>
                  </w:r>
                  <w:r>
                    <w:br/>
                  </w:r>
                  <w:r>
                    <w:rPr>
                      <w:rFonts w:ascii="仿宋_GB2312" w:hAnsi="仿宋_GB2312" w:cs="仿宋_GB2312" w:eastAsia="仿宋_GB2312"/>
                      <w:sz w:val="19"/>
                      <w:color w:val="000000"/>
                    </w:rPr>
                    <w:t>速度测量误差：≤±1KM/H；</w:t>
                  </w:r>
                  <w:r>
                    <w:br/>
                  </w:r>
                  <w:r>
                    <w:rPr>
                      <w:rFonts w:ascii="仿宋_GB2312" w:hAnsi="仿宋_GB2312" w:cs="仿宋_GB2312" w:eastAsia="仿宋_GB2312"/>
                      <w:sz w:val="19"/>
                      <w:color w:val="000000"/>
                    </w:rPr>
                    <w:t>支持4G联网；</w:t>
                  </w:r>
                  <w:r>
                    <w:br/>
                  </w:r>
                  <w:r>
                    <w:rPr>
                      <w:rFonts w:ascii="仿宋_GB2312" w:hAnsi="仿宋_GB2312" w:cs="仿宋_GB2312" w:eastAsia="仿宋_GB2312"/>
                      <w:sz w:val="19"/>
                      <w:color w:val="000000"/>
                    </w:rPr>
                    <w:t>支持远程改字；</w:t>
                  </w:r>
                  <w:r>
                    <w:br/>
                  </w:r>
                  <w:r>
                    <w:rPr>
                      <w:rFonts w:ascii="仿宋_GB2312" w:hAnsi="仿宋_GB2312" w:cs="仿宋_GB2312" w:eastAsia="仿宋_GB2312"/>
                      <w:sz w:val="19"/>
                      <w:color w:val="000000"/>
                    </w:rPr>
                    <w:t>支持远程喊话；</w:t>
                  </w:r>
                </w:p>
                <w:p>
                  <w:pPr>
                    <w:pStyle w:val="null3"/>
                    <w:jc w:val="left"/>
                  </w:pPr>
                  <w:r>
                    <w:rPr>
                      <w:rFonts w:ascii="仿宋_GB2312" w:hAnsi="仿宋_GB2312" w:cs="仿宋_GB2312" w:eastAsia="仿宋_GB2312"/>
                      <w:sz w:val="19"/>
                      <w:color w:val="000000"/>
                    </w:rPr>
                    <w:t>采购人提供现有恶劣天气监测平台的开放性对接端口，供应商应完成与平台端口的对接（提供承诺书）。</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立杆</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根据现场定制立杆。</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设备供电</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包含线缆沟开挖、地埋线管、穿线与恢复。</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电源线</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国标RVV2*2.5。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PE线管</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20*2.3PE线管。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设备供网</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4G物联网，年套餐流量卡，20G流量/月，一年240G。</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安装调试</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设备安装与调试。</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4、车路协同（两个行车方向）</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路侧基站RSU</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采购人提供现有恶劣天气监测平台的开放性对接端口，供应商应完成与平台端口的对接（提供承诺书）；</w:t>
                  </w:r>
                  <w:r>
                    <w:br/>
                  </w:r>
                  <w:r>
                    <w:rPr>
                      <w:rFonts w:ascii="仿宋_GB2312" w:hAnsi="仿宋_GB2312" w:cs="仿宋_GB2312" w:eastAsia="仿宋_GB2312"/>
                      <w:sz w:val="19"/>
                      <w:color w:val="000000"/>
                    </w:rPr>
                    <w:t>根据天气状态对车载终端进行的能见度、路面湿滑、天气状态、预警等级、限速值等预警提醒；</w:t>
                  </w:r>
                  <w:r>
                    <w:br/>
                  </w:r>
                  <w:r>
                    <w:rPr>
                      <w:rFonts w:ascii="仿宋_GB2312" w:hAnsi="仿宋_GB2312" w:cs="仿宋_GB2312" w:eastAsia="仿宋_GB2312"/>
                      <w:sz w:val="19"/>
                      <w:color w:val="000000"/>
                    </w:rPr>
                    <w:t>通信机制：V2X：LTE-V2X PC5（Mode 4）直通式通信；</w:t>
                  </w:r>
                </w:p>
                <w:p>
                  <w:pPr>
                    <w:pStyle w:val="null3"/>
                    <w:jc w:val="left"/>
                  </w:pPr>
                  <w:r>
                    <w:rPr>
                      <w:rFonts w:ascii="仿宋_GB2312" w:hAnsi="仿宋_GB2312" w:cs="仿宋_GB2312" w:eastAsia="仿宋_GB2312"/>
                      <w:sz w:val="19"/>
                      <w:color w:val="000000"/>
                    </w:rPr>
                    <w:t>移动通信：LTE\UMTS\TD-SCDMA\CDMA2000\GSM；</w:t>
                  </w:r>
                </w:p>
                <w:p>
                  <w:pPr>
                    <w:pStyle w:val="null3"/>
                    <w:jc w:val="left"/>
                  </w:pPr>
                  <w:r>
                    <w:rPr>
                      <w:rFonts w:ascii="仿宋_GB2312" w:hAnsi="仿宋_GB2312" w:cs="仿宋_GB2312" w:eastAsia="仿宋_GB2312"/>
                      <w:sz w:val="19"/>
                      <w:color w:val="000000"/>
                    </w:rPr>
                    <w:t>射频指标：工作频段：5.905-5.925GHz；</w:t>
                  </w:r>
                </w:p>
                <w:p>
                  <w:pPr>
                    <w:pStyle w:val="null3"/>
                    <w:jc w:val="left"/>
                  </w:pPr>
                  <w:r>
                    <w:rPr>
                      <w:rFonts w:ascii="仿宋_GB2312" w:hAnsi="仿宋_GB2312" w:cs="仿宋_GB2312" w:eastAsia="仿宋_GB2312"/>
                      <w:sz w:val="19"/>
                      <w:color w:val="000000"/>
                    </w:rPr>
                    <w:t>工作带宽：≥20MHz；</w:t>
                  </w:r>
                </w:p>
                <w:p>
                  <w:pPr>
                    <w:pStyle w:val="null3"/>
                    <w:jc w:val="left"/>
                  </w:pPr>
                  <w:r>
                    <w:rPr>
                      <w:rFonts w:ascii="仿宋_GB2312" w:hAnsi="仿宋_GB2312" w:cs="仿宋_GB2312" w:eastAsia="仿宋_GB2312"/>
                      <w:sz w:val="19"/>
                      <w:color w:val="000000"/>
                    </w:rPr>
                    <w:t>发射功率：≥23dBm；</w:t>
                  </w:r>
                </w:p>
                <w:p>
                  <w:pPr>
                    <w:pStyle w:val="null3"/>
                    <w:jc w:val="left"/>
                  </w:pPr>
                  <w:r>
                    <w:rPr>
                      <w:rFonts w:ascii="仿宋_GB2312" w:hAnsi="仿宋_GB2312" w:cs="仿宋_GB2312" w:eastAsia="仿宋_GB2312"/>
                      <w:sz w:val="19"/>
                      <w:color w:val="000000"/>
                    </w:rPr>
                    <w:t>收发通道：单发双收；</w:t>
                  </w:r>
                </w:p>
                <w:p>
                  <w:pPr>
                    <w:pStyle w:val="null3"/>
                    <w:jc w:val="left"/>
                  </w:pPr>
                  <w:r>
                    <w:rPr>
                      <w:rFonts w:ascii="仿宋_GB2312" w:hAnsi="仿宋_GB2312" w:cs="仿宋_GB2312" w:eastAsia="仿宋_GB2312"/>
                      <w:sz w:val="19"/>
                      <w:color w:val="000000"/>
                    </w:rPr>
                    <w:t>接收灵敏度：≥-97dBm；</w:t>
                  </w:r>
                </w:p>
                <w:p>
                  <w:pPr>
                    <w:pStyle w:val="null3"/>
                    <w:jc w:val="left"/>
                  </w:pPr>
                  <w:r>
                    <w:rPr>
                      <w:rFonts w:ascii="仿宋_GB2312" w:hAnsi="仿宋_GB2312" w:cs="仿宋_GB2312" w:eastAsia="仿宋_GB2312"/>
                      <w:sz w:val="19"/>
                      <w:color w:val="000000"/>
                    </w:rPr>
                    <w:t>通信指标：通信时延≤20ms；</w:t>
                  </w:r>
                </w:p>
                <w:p>
                  <w:pPr>
                    <w:pStyle w:val="null3"/>
                    <w:jc w:val="left"/>
                  </w:pPr>
                  <w:r>
                    <w:rPr>
                      <w:rFonts w:ascii="仿宋_GB2312" w:hAnsi="仿宋_GB2312" w:cs="仿宋_GB2312" w:eastAsia="仿宋_GB2312"/>
                      <w:sz w:val="19"/>
                      <w:color w:val="000000"/>
                    </w:rPr>
                    <w:t>传输带宽≥300Kbps；</w:t>
                  </w:r>
                </w:p>
                <w:p>
                  <w:pPr>
                    <w:pStyle w:val="null3"/>
                    <w:jc w:val="left"/>
                  </w:pPr>
                  <w:r>
                    <w:rPr>
                      <w:rFonts w:ascii="仿宋_GB2312" w:hAnsi="仿宋_GB2312" w:cs="仿宋_GB2312" w:eastAsia="仿宋_GB2312"/>
                      <w:sz w:val="19"/>
                      <w:color w:val="000000"/>
                    </w:rPr>
                    <w:t>工作温度：不低于-40℃～+85℃；</w:t>
                  </w:r>
                </w:p>
                <w:p>
                  <w:pPr>
                    <w:pStyle w:val="null3"/>
                    <w:jc w:val="left"/>
                  </w:pPr>
                  <w:r>
                    <w:rPr>
                      <w:rFonts w:ascii="仿宋_GB2312" w:hAnsi="仿宋_GB2312" w:cs="仿宋_GB2312" w:eastAsia="仿宋_GB2312"/>
                      <w:sz w:val="19"/>
                      <w:color w:val="000000"/>
                    </w:rPr>
                    <w:t>工作湿度：不低于4%～95%。</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对接路侧基站RSU(含二次开发)</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按照编写的第三方数据推送协议格式文档进行接口封装推送，有数据的情况下向指定服务地址接口推送对应的气象数据(包含站点ID设备唯一编号、站点名称、ISO8601格式时间戳、温度、相对湿度、压力、风速、风向、能见度值、路面状态、水膜高度、摩擦系数、路况信息)。</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设备安装</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设备安装与调试。</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bl>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由乙方承担。2、保密条款：（1）成交供应商应严格遵守采购单位有关保密规定，不得泄漏一切机密；（2）在技术服务期间，成交供应商对接触到的有关采购单位商业活动、技术情报和技术资料等文件进行保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响应文件，确定成交后，成交供应商须向代理机构提交纸质版磋商响应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针对本项目提供的项目实施方案进行综合评审。1、供应商完全响应技术参数要求，且实施方案非常详细完整、可行、有针对性，完全满足项目实施的，得10分； 2、供应商完全响应技术参数要求，实施方案详细完整，可行、有针对性，满足项目实施的，得8分； 3、供应商技术参数存在负偏离，实施方案比较详细完整、可行，较利于项目实施的，得5分； 4、供应商技术参数存在负偏离，实施方案基本可行，基本满足项目实施需要的得2分；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1、措施计划齐全、合理且切实可行，完全满足采购人需求，得5分； 2、措施计划较齐全、合理、切实可行，满足采购人需求，得3分； 3、措施计划较齐全、合理、基本可行，基本满足采购人需求，得2分； 4、措施计划基本完备齐全、合理性、可行性较差，得1分；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配备分工及配合协调措施</w:t>
            </w:r>
          </w:p>
        </w:tc>
        <w:tc>
          <w:tcPr>
            <w:tcW w:type="dxa" w:w="2492"/>
          </w:tcPr>
          <w:p>
            <w:pPr>
              <w:pStyle w:val="null3"/>
            </w:pPr>
            <w:r>
              <w:rPr>
                <w:rFonts w:ascii="仿宋_GB2312" w:hAnsi="仿宋_GB2312" w:cs="仿宋_GB2312" w:eastAsia="仿宋_GB2312"/>
              </w:rPr>
              <w:t>针对本项目提供的分工及配合协调措施进行综合评审。1、配备分工合理，岗位间配合协调措施完善，得5分； 2、配备分工有一定合理性，岗位间配合协调措施较完善，得3分； 3、配备分工无针对性，岗位间协调配合措施简单笼统，得1分；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针对本项目提供的项目进度计划和工期目标进行综合。1、进度计划安排合理、措施有效，工期目标明确，满足采购人要求，得5分； 2、进度计划安排较合理、措施较有效，工期目标基本清晰，基本满足采购人要求，得3分； 3、进度计划和工期目标内容简单笼统，无针对性，得1分；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1、提供的安全作业方案及安全配套措施具体、详细，完全符合并优于采购人安全作业的要求，得8分； 2、提供安全作业方案及安全配套措施较详细、较完整，符合采购人安全作业的要求，得5分； 3、提供安全作业方案及安全配套措施基本合理可行，符合采购人安全作业的要求，得3分； 4、提供的安全作业方案及安全配套措施简单，基本符合采购人安全作业的要求，得1分；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针对本项目提供项目的工程质量的技术组织措施进行综合评审。内容至少包括①质量管理工作流程；②工程质量保障方案；③工程质量控制体系；④材料和构配件的质量控制等；⑤施工检测及工序交验方案等。以上内容专门针对本项目且符合本项目实际需求的得 10 分，每缺一项内容扣 2 分，若上述内容存在瑕疵，每存在1处瑕疵扣1分，扣完为止。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针对本项目提供项目的人员专业技术能力及岗位职责方案进行综合评审。1、人员专业技术能力强，岗位职责清晰，得5分； 2、人员有一定的专业技术能力，岗位职责较清晰，得3分； 3、人员专业技术能力欠缺，得1分；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针对本项目提供的拟投入本项目主要机械、设备和劳动力配置情况。 1、拟投入的机械设备数量充足，与项目匹配度高，劳动力配置合理，完全满足项目需要，得6分； 2、拟投入的机械设备数量、与项目基本匹配，劳动力配置较合理，基本满足项目需要，得3分； 3、拟投入的机械设备和劳动力配置简单，无针对性，得1分；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针对本项目提供的项目风险预测与防范，事故应急预案。 1、风险预测与防范内容完善，针对性强，预案及措施科学合理可行性强，得5分； 2、风险预测与防范内容较完善，预案及措施有一定针对性和可行性强，得3分； 3、风险预测与防范内容、预案及措施内容简单笼统，无针对性，得1分；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提高工程质量、缩短施工周期的合理化建议</w:t>
            </w:r>
          </w:p>
        </w:tc>
        <w:tc>
          <w:tcPr>
            <w:tcW w:type="dxa" w:w="2492"/>
          </w:tcPr>
          <w:p>
            <w:pPr>
              <w:pStyle w:val="null3"/>
            </w:pPr>
            <w:r>
              <w:rPr>
                <w:rFonts w:ascii="仿宋_GB2312" w:hAnsi="仿宋_GB2312" w:cs="仿宋_GB2312" w:eastAsia="仿宋_GB2312"/>
              </w:rPr>
              <w:t>针对本项目提供的合理化建议。1、各项建议合理、可行，方法得当，得5分；2、合理化建议可行性一般、方法较少，得3分；3、合理化建议简单笼统，基本完备齐全，但合理性、可行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供应商2022年1月1日至今（以合同的签订日期为准）承接过类似项目，提供类似业绩合同复印件，每提供一个得2分，满分6分。（合同内容须清晰可辨认，无涂改，否则视为无效合同）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经初审合格的磋商响应文件，其磋商报价为有效磋商报价，并进行价格评审。满足磋商文件实质性要求且最终报价最低的供应商的价格为 磋商基准价，其价格分为满分30分。磋商报价得分=（磋商基准价/最 终磋商报价）×30的公式计算得分。 磋商报价不完整的，不进入评标 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详见附件：磋商方案.pdf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