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版本号：ZHCG-SYZJJ-202508180120250821001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三原县宏远小区中区等11个老旧小区改造（小区内配套基础设施）项目-设计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ZHCG-SYZJJ-2025081801</w:t>
      </w:r>
      <w:r>
        <w:br/>
      </w:r>
      <w:r>
        <w:br/>
      </w:r>
      <w:r>
        <w:br/>
      </w:r>
    </w:p>
    <w:p>
      <w:pPr>
        <w:pStyle w:val="null3"/>
        <w:jc w:val="center"/>
        <w:outlineLvl w:val="2"/>
      </w:pPr>
      <w:r>
        <w:rPr>
          <w:rFonts w:ascii="仿宋_GB2312" w:hAnsi="仿宋_GB2312" w:cs="仿宋_GB2312" w:eastAsia="仿宋_GB2312"/>
          <w:sz w:val="28"/>
          <w:b/>
        </w:rPr>
        <w:t>三原县住房和城乡建设局</w:t>
      </w:r>
    </w:p>
    <w:p>
      <w:pPr>
        <w:pStyle w:val="null3"/>
        <w:jc w:val="center"/>
        <w:outlineLvl w:val="2"/>
      </w:pPr>
      <w:r>
        <w:rPr>
          <w:rFonts w:ascii="仿宋_GB2312" w:hAnsi="仿宋_GB2312" w:cs="仿宋_GB2312" w:eastAsia="仿宋_GB2312"/>
          <w:sz w:val="28"/>
          <w:b/>
        </w:rPr>
        <w:t>正和丽景项目管理有限公司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2025年08月21日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正和丽景项目管理有限公司</w:t>
      </w:r>
      <w:r>
        <w:rPr>
          <w:rFonts w:ascii="仿宋_GB2312" w:hAnsi="仿宋_GB2312" w:cs="仿宋_GB2312" w:eastAsia="仿宋_GB2312"/>
        </w:rPr>
        <w:t>（以下简称“代理机构”）受</w:t>
      </w:r>
      <w:r>
        <w:rPr>
          <w:rFonts w:ascii="仿宋_GB2312" w:hAnsi="仿宋_GB2312" w:cs="仿宋_GB2312" w:eastAsia="仿宋_GB2312"/>
        </w:rPr>
        <w:t>三原县住房和城乡建设局</w:t>
      </w:r>
      <w:r>
        <w:rPr>
          <w:rFonts w:ascii="仿宋_GB2312" w:hAnsi="仿宋_GB2312" w:cs="仿宋_GB2312" w:eastAsia="仿宋_GB2312"/>
        </w:rPr>
        <w:t>委托，拟对</w:t>
      </w:r>
      <w:r>
        <w:rPr>
          <w:rFonts w:ascii="仿宋_GB2312" w:hAnsi="仿宋_GB2312" w:cs="仿宋_GB2312" w:eastAsia="仿宋_GB2312"/>
        </w:rPr>
        <w:t>三原县宏远小区中区等11个老旧小区改造（小区内配套基础设施）项目-设计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ZHCG-SYZJJ-2025081801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三原县宏远小区中区等11个老旧小区改造（小区内配套基础设施）项目-设计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1）建设地点：项目位于城管卫生院、锁厂家属楼、服装厂家属院、水津综合楼、贸易小区3号楼、乡企局小区、宴友思小区、工行小区、物资局小区、工商局小区、宏远小区中区，涉及改造楼栋数37栋楼，户数1269户。 （2）改造内容： 道路及场地改造、给水管道更新改造、排水管道更新改造、电气工程改造、小区绿化改造、小区围墙改造、安防改造等</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1、有效的主体资格证明：供应商为具备独立承担民事责任能力的法人、其他组织或自然人，并出具合法有效的营业执照或事业单位法人证书等国家规定的相关证明，自然人参与的提供其身份证明书；</w:t>
      </w:r>
    </w:p>
    <w:p>
      <w:pPr>
        <w:pStyle w:val="null3"/>
      </w:pPr>
      <w:r>
        <w:rPr>
          <w:rFonts w:ascii="仿宋_GB2312" w:hAnsi="仿宋_GB2312" w:cs="仿宋_GB2312" w:eastAsia="仿宋_GB2312"/>
        </w:rPr>
        <w:t>2、财务审计报告：提供2024年度完整的经审计的财务报告（成立时间至投标文件提交截止时间不足一年的可提供成立后任意时段的资产负债表），或提交自2025年2月1日以来银行（基本户开户行）出具的资信证明，或信用担保机构出具的投标担保函，或承诺书（以上四种形式的资料提供任何一种即可）；其他组织和自然人提供银行出具的资信证明或财务报表或承诺书；</w:t>
      </w:r>
    </w:p>
    <w:p>
      <w:pPr>
        <w:pStyle w:val="null3"/>
      </w:pPr>
      <w:r>
        <w:rPr>
          <w:rFonts w:ascii="仿宋_GB2312" w:hAnsi="仿宋_GB2312" w:cs="仿宋_GB2312" w:eastAsia="仿宋_GB2312"/>
        </w:rPr>
        <w:t>3、税收缴纳证明：提供响应文件提交截止之日前近六个月内至少一个月的纳税证明或完税证明（增值税，印花税，城市维护建设费，企业所得税等一种或多种税种），依法免税的单位应提供相关证明材料；</w:t>
      </w:r>
    </w:p>
    <w:p>
      <w:pPr>
        <w:pStyle w:val="null3"/>
      </w:pPr>
      <w:r>
        <w:rPr>
          <w:rFonts w:ascii="仿宋_GB2312" w:hAnsi="仿宋_GB2312" w:cs="仿宋_GB2312" w:eastAsia="仿宋_GB2312"/>
        </w:rPr>
        <w:t>4、社会保障资金缴纳证明：提供响应文件提交截止之日前近六个月内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5、履行合同的能力：提供具有履行本合同所必需的设备和专业技术能力的声明；</w:t>
      </w:r>
    </w:p>
    <w:p>
      <w:pPr>
        <w:pStyle w:val="null3"/>
      </w:pPr>
      <w:r>
        <w:rPr>
          <w:rFonts w:ascii="仿宋_GB2312" w:hAnsi="仿宋_GB2312" w:cs="仿宋_GB2312" w:eastAsia="仿宋_GB2312"/>
        </w:rPr>
        <w:t>6、前三年内无重大违法记录的声明：出具参加政府采购活动前3年内在经营活动中没有重大违法记录的书面声明；</w:t>
      </w:r>
    </w:p>
    <w:p>
      <w:pPr>
        <w:pStyle w:val="null3"/>
      </w:pPr>
      <w:r>
        <w:rPr>
          <w:rFonts w:ascii="仿宋_GB2312" w:hAnsi="仿宋_GB2312" w:cs="仿宋_GB2312" w:eastAsia="仿宋_GB2312"/>
        </w:rPr>
        <w:t>7、法定代表人授权书：须提供法定代表人授权书（法定代表人或负责人直接投标，须提交法定代表人证明书）；</w:t>
      </w:r>
    </w:p>
    <w:p>
      <w:pPr>
        <w:pStyle w:val="null3"/>
      </w:pPr>
      <w:r>
        <w:rPr>
          <w:rFonts w:ascii="仿宋_GB2312" w:hAnsi="仿宋_GB2312" w:cs="仿宋_GB2312" w:eastAsia="仿宋_GB2312"/>
        </w:rPr>
        <w:t>8、信用信息：供应商应在信用中国（www.creditchina.gov.cn）未被列入重大税收违法失信主体、在中国执行信息公开网（http：//zxgk.court.gov.cn/）中未被列入失信被执行人及在中国政府采购网（www.ccgp.gov.cn）未被列入政府采购严重违法失信行为记录名单（处罚期限届满的除外，如相关失信记录已失效，投标人需提供相关证明资料）；</w:t>
      </w:r>
    </w:p>
    <w:p>
      <w:pPr>
        <w:pStyle w:val="null3"/>
      </w:pPr>
      <w:r>
        <w:rPr>
          <w:rFonts w:ascii="仿宋_GB2312" w:hAnsi="仿宋_GB2312" w:cs="仿宋_GB2312" w:eastAsia="仿宋_GB2312"/>
        </w:rPr>
        <w:t>9、资质证书：供应商须具备建设行政主管部门核发的工程设计综合甲级资质或工程设计建筑行业乙级及以上资质或工程设计建筑行业（建筑工程）专业乙级及以上资质；</w:t>
      </w:r>
    </w:p>
    <w:p>
      <w:pPr>
        <w:pStyle w:val="null3"/>
      </w:pPr>
      <w:r>
        <w:rPr>
          <w:rFonts w:ascii="仿宋_GB2312" w:hAnsi="仿宋_GB2312" w:cs="仿宋_GB2312" w:eastAsia="仿宋_GB2312"/>
        </w:rPr>
        <w:t>10、项目负责人资质证书：供应商拟派项目负责人须具备二级及以上注册建筑师执业资格且在本单位注册。</w:t>
      </w:r>
    </w:p>
    <w:p>
      <w:pPr>
        <w:pStyle w:val="null3"/>
      </w:pPr>
      <w:r>
        <w:rPr>
          <w:rFonts w:ascii="仿宋_GB2312" w:hAnsi="仿宋_GB2312" w:cs="仿宋_GB2312" w:eastAsia="仿宋_GB2312"/>
        </w:rPr>
        <w:t>11、非联合体投标：本项目不接受联合体投标。</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三原县住房和城乡建设局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咸阳市三原县城关街道池阳街西段</w:t>
      </w:r>
    </w:p>
    <w:p>
      <w:pPr>
        <w:pStyle w:val="null3"/>
      </w:pPr>
      <w:r>
        <w:rPr>
          <w:rFonts w:ascii="仿宋_GB2312" w:hAnsi="仿宋_GB2312" w:cs="仿宋_GB2312" w:eastAsia="仿宋_GB2312"/>
        </w:rPr>
        <w:t xml:space="preserve"> 邮编： </w:t>
      </w:r>
      <w:r>
        <w:rPr>
          <w:rFonts w:ascii="仿宋_GB2312" w:hAnsi="仿宋_GB2312" w:cs="仿宋_GB2312" w:eastAsia="仿宋_GB2312"/>
        </w:rPr>
        <w:t>713800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安海妮</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13409103525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正和丽景项目管理有限公司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陕西省西安市雁塔区唐延路35号旺座现代城B座1104室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何智颖、李冲、高兴、亢辉</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029-88212028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三原县政府采购管理股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李强</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32269233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采购包1：388,626.00元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代理服务费收费标准：1.参考国家发展计划委员会计价格〔2002〕1980号、发改办价格 〔2003〕857号规定，依据发改价格〔2015〕299号文件规定标准计取该项目的招标代理服务费。代理服务费不足5000按5000计取。经双方协商，由成交供应商支付招标代理服务费，发放成交通知书时一次性付清。</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三原县住房和城乡建设局</w:t>
      </w:r>
      <w:r>
        <w:rPr>
          <w:rFonts w:ascii="仿宋_GB2312" w:hAnsi="仿宋_GB2312" w:cs="仿宋_GB2312" w:eastAsia="仿宋_GB2312"/>
        </w:rPr>
        <w:t>和</w:t>
      </w:r>
      <w:r>
        <w:rPr>
          <w:rFonts w:ascii="仿宋_GB2312" w:hAnsi="仿宋_GB2312" w:cs="仿宋_GB2312" w:eastAsia="仿宋_GB2312"/>
        </w:rPr>
        <w:t>正和丽景项目管理有限公司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三原县住房和城乡建设局</w:t>
      </w:r>
      <w:r>
        <w:rPr>
          <w:rFonts w:ascii="仿宋_GB2312" w:hAnsi="仿宋_GB2312" w:cs="仿宋_GB2312" w:eastAsia="仿宋_GB2312"/>
        </w:rPr>
        <w:t>负责解释。除上述磋商文件内容，其他内容由</w:t>
      </w:r>
      <w:r>
        <w:rPr>
          <w:rFonts w:ascii="仿宋_GB2312" w:hAnsi="仿宋_GB2312" w:cs="仿宋_GB2312" w:eastAsia="仿宋_GB2312"/>
        </w:rPr>
        <w:t>正和丽景项目管理有限公司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三原县住房和城乡建设局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正和丽景项目管理有限公司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满足国家、省、市相关规定及行业现行技术标准、规范要求。 本项目的验收以项目采购文件、响应文件、合同书、需求设计和相关政策法规等作为验收依据，验收前须提供详细的方案，经采购人确认后方可执行。验收合格后，双方签署验收报告。如对服务以及质量有争议，采购人组织相关部门对服务和质量进行检验或者验收，未达到服务要求的，由成交单位承担全部责任。若验收不通过，采购人提出整改意见，成交单位须按照意见提出具体解决方案，处理时间应由双方协商决定。</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正和丽景项目管理有限公司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正和丽景项目管理有限公司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正和丽景项目管理有限公司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联系人：何智颖、李冲、高兴、亢辉</w:t>
      </w:r>
    </w:p>
    <w:p>
      <w:pPr>
        <w:pStyle w:val="null3"/>
      </w:pPr>
      <w:r>
        <w:rPr>
          <w:rFonts w:ascii="仿宋_GB2312" w:hAnsi="仿宋_GB2312" w:cs="仿宋_GB2312" w:eastAsia="仿宋_GB2312"/>
        </w:rPr>
        <w:t>联系电话：029-88212028</w:t>
      </w:r>
    </w:p>
    <w:p>
      <w:pPr>
        <w:pStyle w:val="null3"/>
      </w:pPr>
      <w:r>
        <w:rPr>
          <w:rFonts w:ascii="仿宋_GB2312" w:hAnsi="仿宋_GB2312" w:cs="仿宋_GB2312" w:eastAsia="仿宋_GB2312"/>
        </w:rPr>
        <w:t>地址：陕西省西安市雁塔区唐延路35号旺座现代城B座1104室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1）建设地点：项目位于城管卫生院、锁厂家属楼、服装厂家属院、水津综合楼、贸易小区3号楼、乡企局小区、宴友思小区、工行小区、物资局小区、工商局小区、宏远小区中区，涉及改造楼栋数37栋楼，户数1269户。 （2）改造内容： 道路及场地改造、给水管道更新改造、排水管道更新改造、电气工程改造、小区绿化改造、小区围墙改造、安防改造等。</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388,626.00</w:t>
      </w:r>
    </w:p>
    <w:p>
      <w:pPr>
        <w:pStyle w:val="null3"/>
      </w:pPr>
      <w:r>
        <w:rPr>
          <w:rFonts w:ascii="仿宋_GB2312" w:hAnsi="仿宋_GB2312" w:cs="仿宋_GB2312" w:eastAsia="仿宋_GB2312"/>
        </w:rPr>
        <w:t>采购包最高限价（元）: 388,626.00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三原县宏远小区中区等11个老旧小区改造（小区内配套基础设施）项目-设计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388,626.00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标的名称：三原县宏远小区中区等11个老旧小区改造（小区内配套基础设施）项目-设计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80"/>
              <w:jc w:val="both"/>
            </w:pPr>
            <w:r>
              <w:rPr>
                <w:rFonts w:ascii="仿宋_GB2312" w:hAnsi="仿宋_GB2312" w:cs="仿宋_GB2312" w:eastAsia="仿宋_GB2312"/>
              </w:rPr>
              <w:t>一、设计依据：</w:t>
            </w:r>
            <w:r>
              <w:br/>
            </w:r>
            <w:r>
              <w:rPr>
                <w:rFonts w:ascii="仿宋_GB2312" w:hAnsi="仿宋_GB2312" w:cs="仿宋_GB2312" w:eastAsia="仿宋_GB2312"/>
              </w:rPr>
              <w:t xml:space="preserve"> （1）《陕西省政府投资管理办法》; </w:t>
            </w:r>
            <w:r>
              <w:br/>
            </w:r>
            <w:r>
              <w:rPr>
                <w:rFonts w:ascii="仿宋_GB2312" w:hAnsi="仿宋_GB2312" w:cs="仿宋_GB2312" w:eastAsia="仿宋_GB2312"/>
              </w:rPr>
              <w:t xml:space="preserve"> （2）陕西省发改委-陕西省固定资产投资项目管理操作指南(2020年） </w:t>
            </w:r>
            <w:r>
              <w:br/>
            </w:r>
            <w:r>
              <w:rPr>
                <w:rFonts w:ascii="仿宋_GB2312" w:hAnsi="仿宋_GB2312" w:cs="仿宋_GB2312" w:eastAsia="仿宋_GB2312"/>
              </w:rPr>
              <w:t xml:space="preserve"> （3）《建设项目经济评价方法与参数》第三版； </w:t>
            </w:r>
            <w:r>
              <w:br/>
            </w:r>
            <w:r>
              <w:rPr>
                <w:rFonts w:ascii="仿宋_GB2312" w:hAnsi="仿宋_GB2312" w:cs="仿宋_GB2312" w:eastAsia="仿宋_GB2312"/>
              </w:rPr>
              <w:t xml:space="preserve"> （4）《中华人民共和国国民经济和社会发展第十四个五年规划和2035年远景目标纲要》；</w:t>
            </w:r>
            <w:r>
              <w:br/>
            </w:r>
            <w:r>
              <w:rPr>
                <w:rFonts w:ascii="仿宋_GB2312" w:hAnsi="仿宋_GB2312" w:cs="仿宋_GB2312" w:eastAsia="仿宋_GB2312"/>
              </w:rPr>
              <w:t xml:space="preserve"> （5）《国务院办公厅关于全面推进城镇老旧小区改造工作的指导意见》（国办发〔2020〕23号）；</w:t>
            </w:r>
            <w:r>
              <w:br/>
            </w:r>
            <w:r>
              <w:rPr>
                <w:rFonts w:ascii="仿宋_GB2312" w:hAnsi="仿宋_GB2312" w:cs="仿宋_GB2312" w:eastAsia="仿宋_GB2312"/>
              </w:rPr>
              <w:t xml:space="preserve"> （6）《关于用好中央预算内投资扎实推进城镇老旧小区改造工作的通知》（发改投资〔2020〕305号）</w:t>
            </w:r>
            <w:r>
              <w:br/>
            </w:r>
            <w:r>
              <w:rPr>
                <w:rFonts w:ascii="仿宋_GB2312" w:hAnsi="仿宋_GB2312" w:cs="仿宋_GB2312" w:eastAsia="仿宋_GB2312"/>
              </w:rPr>
              <w:t xml:space="preserve"> （7）国家发展改革委、住房城乡建设部发布《关于加强城镇老旧小区改造配套设施建设的通知》（发改投资〔2021〕1275号）；</w:t>
            </w:r>
            <w:r>
              <w:br/>
            </w:r>
            <w:r>
              <w:rPr>
                <w:rFonts w:ascii="仿宋_GB2312" w:hAnsi="仿宋_GB2312" w:cs="仿宋_GB2312" w:eastAsia="仿宋_GB2312"/>
              </w:rPr>
              <w:t xml:space="preserve"> （8）《国家发展改革委办公厅关于总结推广加强城镇老旧小区改造资金保障典型经验的通知》（发改办投资〔2021〕794号）；</w:t>
            </w:r>
            <w:r>
              <w:br/>
            </w:r>
            <w:r>
              <w:rPr>
                <w:rFonts w:ascii="仿宋_GB2312" w:hAnsi="仿宋_GB2312" w:cs="仿宋_GB2312" w:eastAsia="仿宋_GB2312"/>
              </w:rPr>
              <w:t xml:space="preserve"> （9）《陕西省国民经济和社会发展第十四个五年规划和二〇三五年远景目标纲要》；</w:t>
            </w:r>
            <w:r>
              <w:br/>
            </w:r>
            <w:r>
              <w:rPr>
                <w:rFonts w:ascii="仿宋_GB2312" w:hAnsi="仿宋_GB2312" w:cs="仿宋_GB2312" w:eastAsia="仿宋_GB2312"/>
              </w:rPr>
              <w:t xml:space="preserve"> （10）《陕西省关于推进全省城镇老旧小区改造工作的实施意见》（陕建发〔2019〕1189号）；</w:t>
            </w:r>
            <w:r>
              <w:br/>
            </w:r>
            <w:r>
              <w:rPr>
                <w:rFonts w:ascii="仿宋_GB2312" w:hAnsi="仿宋_GB2312" w:cs="仿宋_GB2312" w:eastAsia="仿宋_GB2312"/>
              </w:rPr>
              <w:t xml:space="preserve"> （11）《陕西省2021年城市体检工作实施方案》（2021年6月）； </w:t>
            </w:r>
            <w:r>
              <w:br/>
            </w:r>
            <w:r>
              <w:rPr>
                <w:rFonts w:ascii="仿宋_GB2312" w:hAnsi="仿宋_GB2312" w:cs="仿宋_GB2312" w:eastAsia="仿宋_GB2312"/>
              </w:rPr>
              <w:t xml:space="preserve"> （12）《进一步优化城镇老旧小区改造项目审批的指导意见（试行）的通知》（陕建发〔2021〕1034号）；</w:t>
            </w:r>
            <w:r>
              <w:br/>
            </w:r>
            <w:r>
              <w:rPr>
                <w:rFonts w:ascii="仿宋_GB2312" w:hAnsi="仿宋_GB2312" w:cs="仿宋_GB2312" w:eastAsia="仿宋_GB2312"/>
              </w:rPr>
              <w:t xml:space="preserve"> （13）《陕西省城镇老旧小区改造导则》； </w:t>
            </w:r>
            <w:r>
              <w:br/>
            </w:r>
            <w:r>
              <w:rPr>
                <w:rFonts w:ascii="仿宋_GB2312" w:hAnsi="仿宋_GB2312" w:cs="仿宋_GB2312" w:eastAsia="仿宋_GB2312"/>
              </w:rPr>
              <w:t xml:space="preserve"> （14）《陕西省人民政府住房和城乡建设部关于印发在城乡人居环境建设中开展美好环境与幸福生活共同缔造活动实施方案的通知》（陕政发〔2021〕17 号）；</w:t>
            </w:r>
            <w:r>
              <w:br/>
            </w:r>
            <w:r>
              <w:rPr>
                <w:rFonts w:ascii="仿宋_GB2312" w:hAnsi="仿宋_GB2312" w:cs="仿宋_GB2312" w:eastAsia="仿宋_GB2312"/>
              </w:rPr>
              <w:t xml:space="preserve"> （15）省住建厅、省发展改革委、省财政厅《关于进一步规范城镇老旧小区改造工作的意见》（陕建发〔2022〕293号）；</w:t>
            </w:r>
            <w:r>
              <w:br/>
            </w:r>
            <w:r>
              <w:rPr>
                <w:rFonts w:ascii="仿宋_GB2312" w:hAnsi="仿宋_GB2312" w:cs="仿宋_GB2312" w:eastAsia="仿宋_GB2312"/>
              </w:rPr>
              <w:t xml:space="preserve"> （16）陕西省住建厅、省发展改革委、省财政厅印发《关于高位推进2023 年全省城镇老旧小区改造工作的通知》（陕建发〔2023〕1号）；</w:t>
            </w:r>
            <w:r>
              <w:br/>
            </w:r>
            <w:r>
              <w:rPr>
                <w:rFonts w:ascii="仿宋_GB2312" w:hAnsi="仿宋_GB2312" w:cs="仿宋_GB2312" w:eastAsia="仿宋_GB2312"/>
              </w:rPr>
              <w:t xml:space="preserve"> （17）《陕西三原城市总体规划（2010年-2025年）》； </w:t>
            </w:r>
            <w:r>
              <w:br/>
            </w:r>
            <w:r>
              <w:rPr>
                <w:rFonts w:ascii="仿宋_GB2312" w:hAnsi="仿宋_GB2312" w:cs="仿宋_GB2312" w:eastAsia="仿宋_GB2312"/>
              </w:rPr>
              <w:t xml:space="preserve"> （18）《建筑工程设计文件编制深度规定》（2016年版）</w:t>
            </w:r>
            <w:r>
              <w:br/>
            </w:r>
            <w:r>
              <w:rPr>
                <w:rFonts w:ascii="仿宋_GB2312" w:hAnsi="仿宋_GB2312" w:cs="仿宋_GB2312" w:eastAsia="仿宋_GB2312"/>
              </w:rPr>
              <w:t xml:space="preserve"> 二、设计原则：</w:t>
            </w:r>
            <w:r>
              <w:br/>
            </w:r>
            <w:r>
              <w:rPr>
                <w:rFonts w:ascii="仿宋_GB2312" w:hAnsi="仿宋_GB2312" w:cs="仿宋_GB2312" w:eastAsia="仿宋_GB2312"/>
              </w:rPr>
              <w:t xml:space="preserve"> 1、在各专项规划的指导下开展相应设计工作，必须符合现行国家、省、市有关设计规范和技术规定。</w:t>
            </w:r>
            <w:r>
              <w:br/>
            </w:r>
            <w:r>
              <w:rPr>
                <w:rFonts w:ascii="仿宋_GB2312" w:hAnsi="仿宋_GB2312" w:cs="仿宋_GB2312" w:eastAsia="仿宋_GB2312"/>
              </w:rPr>
              <w:t xml:space="preserve"> 2、设计应充分重视工程的定位和功能，塑造城市整体形象。</w:t>
            </w:r>
            <w:r>
              <w:br/>
            </w:r>
            <w:r>
              <w:rPr>
                <w:rFonts w:ascii="仿宋_GB2312" w:hAnsi="仿宋_GB2312" w:cs="仿宋_GB2312" w:eastAsia="仿宋_GB2312"/>
              </w:rPr>
              <w:t xml:space="preserve"> 3、工程设计实现与相关规划的有机结合，提出客观的具体的针对各个具体工程特点的工程实施方案，确保施工方案经济、合理。</w:t>
            </w:r>
            <w:r>
              <w:br/>
            </w:r>
            <w:r>
              <w:rPr>
                <w:rFonts w:ascii="仿宋_GB2312" w:hAnsi="仿宋_GB2312" w:cs="仿宋_GB2312" w:eastAsia="仿宋_GB2312"/>
              </w:rPr>
              <w:t xml:space="preserve"> 4、设计要体现高水平、高质量、积极采用新工艺、新技术、新材料，以达到提高服务水平和节约投资的目的。</w:t>
            </w:r>
            <w:r>
              <w:br/>
            </w:r>
            <w:r>
              <w:rPr>
                <w:rFonts w:ascii="仿宋_GB2312" w:hAnsi="仿宋_GB2312" w:cs="仿宋_GB2312" w:eastAsia="仿宋_GB2312"/>
              </w:rPr>
              <w:t xml:space="preserve"> 5、充分考虑已建和在建工程的现状，在充分调查和掌握资料的基础上，提出各种合理的处理方案。</w:t>
            </w:r>
            <w:r>
              <w:br/>
            </w:r>
            <w:r>
              <w:rPr>
                <w:rFonts w:ascii="仿宋_GB2312" w:hAnsi="仿宋_GB2312" w:cs="仿宋_GB2312" w:eastAsia="仿宋_GB2312"/>
              </w:rPr>
              <w:t xml:space="preserve"> 6、设计应兼顾工程经济性和可靠性。采用便于施工、维修、养护的结构型式；必须在施工、使用过程中具有符合要求的强度、刚度、稳定性和耐久性。</w:t>
            </w:r>
            <w:r>
              <w:br/>
            </w:r>
            <w:r>
              <w:rPr>
                <w:rFonts w:ascii="仿宋_GB2312" w:hAnsi="仿宋_GB2312" w:cs="仿宋_GB2312" w:eastAsia="仿宋_GB2312"/>
              </w:rPr>
              <w:t xml:space="preserve"> 7、充分满足业主的技术支持、现场服务咨询等其他要求。</w:t>
            </w:r>
            <w:r>
              <w:br/>
            </w:r>
            <w:r>
              <w:rPr>
                <w:rFonts w:ascii="仿宋_GB2312" w:hAnsi="仿宋_GB2312" w:cs="仿宋_GB2312" w:eastAsia="仿宋_GB2312"/>
              </w:rPr>
              <w:t xml:space="preserve"> 三、成果要求：</w:t>
            </w:r>
            <w:r>
              <w:br/>
            </w:r>
            <w:r>
              <w:rPr>
                <w:rFonts w:ascii="仿宋_GB2312" w:hAnsi="仿宋_GB2312" w:cs="仿宋_GB2312" w:eastAsia="仿宋_GB2312"/>
              </w:rPr>
              <w:t xml:space="preserve"> 完成三原县宏远小区中区等11个老旧小区改造（小区内配套基础设施）项目设计，满足项目功能要求的施工图设计服务。提供Word、PDF 版本，按要求配合完成优化、汇报、评审等工作，采购方认可后可安排验收，验收通过后提交成果终稿电子版1份，纸质版4份。</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设计单位须根据本次服务要求，配备有足够的相关专业人员。</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设计单位须根据本次服务要求，配备有足够的相关专业设备。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需满足项目服务内容及要求。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自合同签订之日起30日历日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满足国家、省、市相关规定及行业现行技术标准、规范要求。 本项目的验收以项目采购文件、响应文件、合同书、需求设计和相关政策法规等作为验收依据，验收前须提供详细的方案，经采购人确认后方可执行。验收合格后，双方签署验收报告。如对服务以及质量有争议，采购人组织相关部门对服务和质量进行检验或者验收，未达到服务要求的，由成交单位承担全部责任。若验收不通过，采购人提出整改意见，成交单位须按照意见提出具体解决方案，处理时间应由双方协商决定。</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所有设计任务完成并审查通过后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工程竣工验收完成所有报告签字及盖章后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根据采购文件、响应文件及合同约定执行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1、报价含完成任务所需的税费、设计费、人工费、交通费、专家费、租车费、资料费等所有费用。 2、因资金拨款审批程序等原因，具体支付进度需结合采购人资金到账情况而定，供应商需预见且接 受该情况。合同其他条款根据采购文件、响应文件及合同约定执行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承诺书.docx 响应函 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供应商为具备独立承担民事责任能力的法人、其他组织或自然人，并出具合法有效的营业执照或事业单位法人证书等国家规定的相关证明，自然人参与的提供其身份证明书；</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财务审计报告</w:t>
            </w:r>
          </w:p>
        </w:tc>
        <w:tc>
          <w:tcPr>
            <w:tcW w:type="dxa" w:w="3322"/>
          </w:tcPr>
          <w:p>
            <w:pPr>
              <w:pStyle w:val="null3"/>
            </w:pPr>
            <w:r>
              <w:rPr>
                <w:rFonts w:ascii="仿宋_GB2312" w:hAnsi="仿宋_GB2312" w:cs="仿宋_GB2312" w:eastAsia="仿宋_GB2312"/>
              </w:rPr>
              <w:t>提供2024年度完整的经审计的财务报告（成立时间至投标文件提交截止时间不足一年的可提供成立后任意时段的资产负债表），或提交自2025年2月1日以来银行（基本户开户行）出具的资信证明，或信用担保机构出具的投标担保函，或承诺书（以上四种形式的资料提供任何一种即可）；其他组织和自然人提供银行出具的资信证明或财务报表或承诺书；</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提供响应文件提交截止之日前近六个月内至少一个月的纳税证明或完税证明（增值税，印花税，城市维护建设费，企业所得税等一种或多种税种），依法免税的单位应提供相关证明材料；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提供响应文件提交截止之日前近六个月内至少一个月的社会保障资金缴存单据或社保机构开具的社会保险参保缴费情况证明，依法不需要缴纳社会保障资金的单位应提供相关证明材料；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履行合同的能力</w:t>
            </w:r>
          </w:p>
        </w:tc>
        <w:tc>
          <w:tcPr>
            <w:tcW w:type="dxa" w:w="3322"/>
          </w:tcPr>
          <w:p>
            <w:pPr>
              <w:pStyle w:val="null3"/>
            </w:pPr>
            <w:r>
              <w:rPr>
                <w:rFonts w:ascii="仿宋_GB2312" w:hAnsi="仿宋_GB2312" w:cs="仿宋_GB2312" w:eastAsia="仿宋_GB2312"/>
              </w:rPr>
              <w:t>提供具有履行本合同所必需的设备和专业技术能力的声明；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前三年内无重大违法记录的声明</w:t>
            </w:r>
          </w:p>
        </w:tc>
        <w:tc>
          <w:tcPr>
            <w:tcW w:type="dxa" w:w="3322"/>
          </w:tcPr>
          <w:p>
            <w:pPr>
              <w:pStyle w:val="null3"/>
            </w:pPr>
            <w:r>
              <w:rPr>
                <w:rFonts w:ascii="仿宋_GB2312" w:hAnsi="仿宋_GB2312" w:cs="仿宋_GB2312" w:eastAsia="仿宋_GB2312"/>
              </w:rPr>
              <w:t>出具参加政府采购活动前3年内在经营活动中没有重大违法记录的书面声明；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须提供法定代表人授权书（法定代表人或负责人直接投标，须提交法定代表人证明书）；</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供应商应在信用中国（www.creditchina.gov.cn）未被列入重大税收违法失信主体、在中国执行信息公开网（http：//zxgk.court.gov.cn/）中未被列入失信被执行人及在中国政府采购网（www.ccgp.gov.cn）未被列入政府采购严重违法失信行为记录名单（处罚期限届满的除外，如相关失信记录已失效，投标人需提供相关证明资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资质证书</w:t>
            </w:r>
          </w:p>
        </w:tc>
        <w:tc>
          <w:tcPr>
            <w:tcW w:type="dxa" w:w="3322"/>
          </w:tcPr>
          <w:p>
            <w:pPr>
              <w:pStyle w:val="null3"/>
            </w:pPr>
            <w:r>
              <w:rPr>
                <w:rFonts w:ascii="仿宋_GB2312" w:hAnsi="仿宋_GB2312" w:cs="仿宋_GB2312" w:eastAsia="仿宋_GB2312"/>
              </w:rPr>
              <w:t>供应商须具备建设行政主管部门核发的工程设计综合甲级资质或工程设计建筑行业乙级及以上资质或工程设计建筑行业（建筑工程）专业乙级及以上资质；</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项目负责人资质证书</w:t>
            </w:r>
          </w:p>
        </w:tc>
        <w:tc>
          <w:tcPr>
            <w:tcW w:type="dxa" w:w="3322"/>
          </w:tcPr>
          <w:p>
            <w:pPr>
              <w:pStyle w:val="null3"/>
            </w:pPr>
            <w:r>
              <w:rPr>
                <w:rFonts w:ascii="仿宋_GB2312" w:hAnsi="仿宋_GB2312" w:cs="仿宋_GB2312" w:eastAsia="仿宋_GB2312"/>
              </w:rPr>
              <w:t>供应商拟派项目负责人须具备二级及以上注册建筑师执业资格且在本单位注册。</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非联合体投标</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磋商响应文件上法定代表人或其授权代表人的 签字齐全并加盖公章</w:t>
            </w:r>
          </w:p>
        </w:tc>
        <w:tc>
          <w:tcPr>
            <w:tcW w:type="dxa" w:w="1661"/>
          </w:tcPr>
          <w:p>
            <w:pPr>
              <w:pStyle w:val="null3"/>
            </w:pPr>
            <w:r>
              <w:rPr>
                <w:rFonts w:ascii="仿宋_GB2312" w:hAnsi="仿宋_GB2312" w:cs="仿宋_GB2312" w:eastAsia="仿宋_GB2312"/>
              </w:rPr>
              <w:t>响应文件封面 服务内容及服务邀请应答表 商务应答表 承诺书.docx 报价表 响应函 服务方案.docx 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 且报价不超过采购预算金额或最高限价</w:t>
            </w:r>
          </w:p>
        </w:tc>
        <w:tc>
          <w:tcPr>
            <w:tcW w:type="dxa" w:w="1661"/>
          </w:tcPr>
          <w:p>
            <w:pPr>
              <w:pStyle w:val="null3"/>
            </w:pPr>
            <w:r>
              <w:rPr>
                <w:rFonts w:ascii="仿宋_GB2312" w:hAnsi="仿宋_GB2312" w:cs="仿宋_GB2312" w:eastAsia="仿宋_GB2312"/>
              </w:rPr>
              <w:t>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磋商响应文件内容</w:t>
            </w:r>
          </w:p>
        </w:tc>
        <w:tc>
          <w:tcPr>
            <w:tcW w:type="dxa" w:w="3322"/>
          </w:tcPr>
          <w:p>
            <w:pPr>
              <w:pStyle w:val="null3"/>
            </w:pPr>
            <w:r>
              <w:rPr>
                <w:rFonts w:ascii="仿宋_GB2312" w:hAnsi="仿宋_GB2312" w:cs="仿宋_GB2312" w:eastAsia="仿宋_GB2312"/>
              </w:rPr>
              <w:t>磋商响应文件内容齐全、无遗漏</w:t>
            </w:r>
          </w:p>
        </w:tc>
        <w:tc>
          <w:tcPr>
            <w:tcW w:type="dxa" w:w="1661"/>
          </w:tcPr>
          <w:p>
            <w:pPr>
              <w:pStyle w:val="null3"/>
            </w:pPr>
            <w:r>
              <w:rPr>
                <w:rFonts w:ascii="仿宋_GB2312" w:hAnsi="仿宋_GB2312" w:cs="仿宋_GB2312" w:eastAsia="仿宋_GB2312"/>
              </w:rPr>
              <w:t>服务内容及服务邀请应答表 商务应答表 资格证明文件.docx 服务方案.docx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项目理解</w:t>
            </w:r>
          </w:p>
        </w:tc>
        <w:tc>
          <w:tcPr>
            <w:tcW w:type="dxa" w:w="2492"/>
          </w:tcPr>
          <w:p>
            <w:pPr>
              <w:pStyle w:val="null3"/>
            </w:pPr>
            <w:r>
              <w:rPr>
                <w:rFonts w:ascii="仿宋_GB2312" w:hAnsi="仿宋_GB2312" w:cs="仿宋_GB2312" w:eastAsia="仿宋_GB2312"/>
              </w:rPr>
              <w:t>对项目背景理解到位，认识准确，掌握项目各项工作要求，完全满足采购人需求，计4.1～6分；项目理解基本准确，了解项目相关情况，基本能满足项目实际需求，计2.1～4分；项目理解不准确，不利于项目实施的，计0～2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针对本项目提供具体的服务方案。服务方案考虑全面，内容详实，切实可行，完全满足采购需求的，计6.1～10分；服务方案基本完整，具有一定的操作性，基本满足采购需求的，计3.1～6分；服务方案一般、操作性较差、不利于项目实施的，计0～3 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设计方案</w:t>
            </w:r>
          </w:p>
        </w:tc>
        <w:tc>
          <w:tcPr>
            <w:tcW w:type="dxa" w:w="2492"/>
          </w:tcPr>
          <w:p>
            <w:pPr>
              <w:pStyle w:val="null3"/>
            </w:pPr>
            <w:r>
              <w:rPr>
                <w:rFonts w:ascii="仿宋_GB2312" w:hAnsi="仿宋_GB2312" w:cs="仿宋_GB2312" w:eastAsia="仿宋_GB2312"/>
              </w:rPr>
              <w:t>针对本项目提出具体的设计方案。设计方案完善，思路清晰，科学合理，完全满足采购需求的，计12.1～16分；设计方案完整、具有一定的科学性，比较合理，基本满足采购需求的，计8.1～12分；设计方案基本完整，具有一定可行的，计4.1～8分；设计方案简单，思路和方法模糊，操作性较差的，计0～4分。</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重点、难点分析</w:t>
            </w:r>
          </w:p>
        </w:tc>
        <w:tc>
          <w:tcPr>
            <w:tcW w:type="dxa" w:w="2492"/>
          </w:tcPr>
          <w:p>
            <w:pPr>
              <w:pStyle w:val="null3"/>
            </w:pPr>
            <w:r>
              <w:rPr>
                <w:rFonts w:ascii="仿宋_GB2312" w:hAnsi="仿宋_GB2312" w:cs="仿宋_GB2312" w:eastAsia="仿宋_GB2312"/>
              </w:rPr>
              <w:t>对本项目内容，重点难点理解深刻到位、分析全面，应对措施科学合理、有针对性、可实施性的，计4.1～7分；重点难点分析基本全面，应对措施基本合理，有一定可实施性的，计2.1～4分；重点难点分析不到位，应对措施简单的，计0～2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进度保障</w:t>
            </w:r>
          </w:p>
        </w:tc>
        <w:tc>
          <w:tcPr>
            <w:tcW w:type="dxa" w:w="2492"/>
          </w:tcPr>
          <w:p>
            <w:pPr>
              <w:pStyle w:val="null3"/>
            </w:pPr>
            <w:r>
              <w:rPr>
                <w:rFonts w:ascii="仿宋_GB2312" w:hAnsi="仿宋_GB2312" w:cs="仿宋_GB2312" w:eastAsia="仿宋_GB2312"/>
              </w:rPr>
              <w:t>结合本项目要求，阐述服务时效及进度的保障措施，时间进度安排合理、可行，完全满足项目要求，计4.1～6分；措施基本合理，满足项目需求，计2.1～4分；措施简单，不利于项目实施，计0～2分。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质量保障</w:t>
            </w:r>
          </w:p>
        </w:tc>
        <w:tc>
          <w:tcPr>
            <w:tcW w:type="dxa" w:w="2492"/>
          </w:tcPr>
          <w:p>
            <w:pPr>
              <w:pStyle w:val="null3"/>
            </w:pPr>
            <w:r>
              <w:rPr>
                <w:rFonts w:ascii="仿宋_GB2312" w:hAnsi="仿宋_GB2312" w:cs="仿宋_GB2312" w:eastAsia="仿宋_GB2312"/>
              </w:rPr>
              <w:t>结合本项目要求，阐述服务质量保障措施等。服务质量的保障措施科学合理、具体可行，计4.1～6分；保障措施基本合理，计2.1～4分；保障措施简单、不利于项目实施，计0～2分。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团队人员证书</w:t>
            </w:r>
          </w:p>
        </w:tc>
        <w:tc>
          <w:tcPr>
            <w:tcW w:type="dxa" w:w="2492"/>
          </w:tcPr>
          <w:p>
            <w:pPr>
              <w:pStyle w:val="null3"/>
            </w:pPr>
            <w:r>
              <w:rPr>
                <w:rFonts w:ascii="仿宋_GB2312" w:hAnsi="仿宋_GB2312" w:cs="仿宋_GB2312" w:eastAsia="仿宋_GB2312"/>
              </w:rPr>
              <w:t>拟投入本项目的其他人员（除项目负责人以外）中具有相关专业中级及以上工程师职称的，每提供1个计1分，最多得5分。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团队组织架构</w:t>
            </w:r>
          </w:p>
        </w:tc>
        <w:tc>
          <w:tcPr>
            <w:tcW w:type="dxa" w:w="2492"/>
          </w:tcPr>
          <w:p>
            <w:pPr>
              <w:pStyle w:val="null3"/>
            </w:pPr>
            <w:r>
              <w:rPr>
                <w:rFonts w:ascii="仿宋_GB2312" w:hAnsi="仿宋_GB2312" w:cs="仿宋_GB2312" w:eastAsia="仿宋_GB2312"/>
              </w:rPr>
              <w:t>本项目拟投入人员的工作经验及组织架构满足项目需求。架构合理，人员配置专业齐全、岗位分配合理、团队人员经验丰富，完全满足项目需求，计4.1～6分；架构基本完善，人员配置完整、有具体岗位分配、团队人员具有一定的经验，基本满足项目需求，计2.1～4分；人员配置欠缺、不利于项目实施的计0～2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根据本项目的服务内容，做出切实可行的服务承诺，确保项目能按时按质完成，达到服务要求且能保证项目质量。承诺内容清晰、承诺指标明确，后续服务具有可延续性，计3.1～6分；承诺及措施科学合理，基本满足项目需求，计0～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针对本项目提供具体的合理化建议。建议科学合理、具有针对性、切实可行，计3.1～6分；建议基本合理，具有一定的可行性，计0～3分。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供应商提供2022年1月1日至今的类似项目业绩，每提供一个得2分,满分6分。 注：以业绩合同为准，附合同关键页（应包含合同首页、采购内容、金额所在页和签字盖章页及合同签订日期页等）</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以满足磋商文件要求且磋商价格最低的报价为评标基准价,其价格分为满分,其他供应商的价格分按照下列公式计算:报价得分=(评标基准价/磋商报价)×20。 注：对符合政府采购政策供应商的价格扣除见评审办法</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详见附件：承诺书.docx</w:t>
      </w:r>
    </w:p>
    <w:p>
      <w:pPr>
        <w:pStyle w:val="null3"/>
        <w:ind w:firstLine="960"/>
      </w:pPr>
      <w:r>
        <w:rPr>
          <w:rFonts w:ascii="仿宋_GB2312" w:hAnsi="仿宋_GB2312" w:cs="仿宋_GB2312" w:eastAsia="仿宋_GB2312"/>
        </w:rPr>
        <w:t>详见附件：资格证明文件.docx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详见附件：设计合同.docx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