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版本号：ZRS-2025-ZC-01620250822001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三原县南大街、北大街、盐店街及政府街楼体照明更新项目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ZRS-2025-ZC-016</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三原县南大街、北大街、盐店街及政府街楼体照明更新项目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ZRS-2025-ZC-016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三原县南大街、北大街、盐店街及政府街楼体照明更新项目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为进一步提升三原县城市形象，推动整体发展，促进旅游业及经济等更加快速发展，根据县委、县政府安排，三原县住房和城乡建设局拟实施三原县南大街、北大街、盐店街及政府街楼体照明更新项目。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采购包1（三原县南大街、北大街、盐店街及政府街楼体照明更新项目）：属于专门面向中小企业采购。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2、法定代表人或授权代表：法定代表人参加投标时，提供本人身份证；授权代表参加投标时，提供法定代表人授权书和 被授权人身份证；非法人单位参照执行；</w:t>
      </w:r>
    </w:p>
    <w:p>
      <w:pPr>
        <w:pStyle w:val="null3"/>
      </w:pPr>
      <w:r>
        <w:rPr>
          <w:rFonts w:ascii="仿宋_GB2312" w:hAnsi="仿宋_GB2312" w:cs="仿宋_GB2312" w:eastAsia="仿宋_GB2312"/>
        </w:rPr>
        <w:t>3、财务状况：提供2023年度或2024年度经审计的财务报告或开标前三个月内基本账户开户银行开具的资信证明及基本存款账户信息；</w:t>
      </w:r>
    </w:p>
    <w:p>
      <w:pPr>
        <w:pStyle w:val="null3"/>
      </w:pPr>
      <w:r>
        <w:rPr>
          <w:rFonts w:ascii="仿宋_GB2312" w:hAnsi="仿宋_GB2312" w:cs="仿宋_GB2312" w:eastAsia="仿宋_GB2312"/>
        </w:rPr>
        <w:t>4、税收缴纳证明：提供开标前近六个月内已缴纳任意一个月完税凭证或税务机关开具的完税证明（任意税种）；依法免 税的应提供相关文件证明；</w:t>
      </w:r>
    </w:p>
    <w:p>
      <w:pPr>
        <w:pStyle w:val="null3"/>
      </w:pPr>
      <w:r>
        <w:rPr>
          <w:rFonts w:ascii="仿宋_GB2312" w:hAnsi="仿宋_GB2312" w:cs="仿宋_GB2312" w:eastAsia="仿宋_GB2312"/>
        </w:rPr>
        <w:t>5、社会保障资金缴纳证明：提供开标前六个月内已缴存的任意一个月的社会保障资金缴存证明或社保机构开具的社会保 险参保缴费情况证明；依法不需要缴纳社会保障资金的应提供相关文件证明；</w:t>
      </w:r>
    </w:p>
    <w:p>
      <w:pPr>
        <w:pStyle w:val="null3"/>
      </w:pPr>
      <w:r>
        <w:rPr>
          <w:rFonts w:ascii="仿宋_GB2312" w:hAnsi="仿宋_GB2312" w:cs="仿宋_GB2312" w:eastAsia="仿宋_GB2312"/>
        </w:rPr>
        <w:t>6、控股、管理关系：单位负责人为同一人或者存在控股、管理关系的不同单位不得同时进行投标；</w:t>
      </w:r>
    </w:p>
    <w:p>
      <w:pPr>
        <w:pStyle w:val="null3"/>
      </w:pPr>
      <w:r>
        <w:rPr>
          <w:rFonts w:ascii="仿宋_GB2312" w:hAnsi="仿宋_GB2312" w:cs="仿宋_GB2312" w:eastAsia="仿宋_GB2312"/>
        </w:rPr>
        <w:t>7、无重大违法记录的书面声明：参加政府采购活动前三年内，在经营活动中没有重大违法记录的书面声明；</w:t>
      </w:r>
    </w:p>
    <w:p>
      <w:pPr>
        <w:pStyle w:val="null3"/>
      </w:pPr>
      <w:r>
        <w:rPr>
          <w:rFonts w:ascii="仿宋_GB2312" w:hAnsi="仿宋_GB2312" w:cs="仿宋_GB2312" w:eastAsia="仿宋_GB2312"/>
        </w:rPr>
        <w:t>8、信用查询：供应商不得为“信用中国”网站（www.creditchina.gov.cn）和中国政府采购网（www.ccgp.gov.cn）中被列入失信被执行人、重大税收违法案件当事人名单、政府采购严重违法失信行为记录名单的单位。（代理机构将现场进行 查询并留存）</w:t>
      </w:r>
    </w:p>
    <w:p>
      <w:pPr>
        <w:pStyle w:val="null3"/>
      </w:pPr>
      <w:r>
        <w:rPr>
          <w:rFonts w:ascii="仿宋_GB2312" w:hAnsi="仿宋_GB2312" w:cs="仿宋_GB2312" w:eastAsia="仿宋_GB2312"/>
        </w:rPr>
        <w:t>9、本项目不接受联合体投标：：本项目不接受联合体投标。（书面声明）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陈广安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采购包1：1,733,783.61元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联系人：夏静</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为进一步提升三原县城市形象，推动整体发展，促进旅游业及经济等更加快速发展，根据县委、县政府安排，三原县住房和城乡建设局拟实施三原县南大街、北大街、盐店街及政府街楼体照明更新项目。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1,733,783.61</w:t>
      </w:r>
    </w:p>
    <w:p>
      <w:pPr>
        <w:pStyle w:val="null3"/>
      </w:pPr>
      <w:r>
        <w:rPr>
          <w:rFonts w:ascii="仿宋_GB2312" w:hAnsi="仿宋_GB2312" w:cs="仿宋_GB2312" w:eastAsia="仿宋_GB2312"/>
        </w:rPr>
        <w:t>采购包最高限价（元）: 1,733,783.61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三原县南大街、北大街、盐店街及政府街楼体照明更新项目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1,733,783.61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标的名称：三原县南大街、北大街、盐店街及政府街楼体照明更新项目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13"/>
              <w:gridCol w:w="213"/>
              <w:gridCol w:w="1269"/>
              <w:gridCol w:w="213"/>
              <w:gridCol w:w="213"/>
              <w:gridCol w:w="213"/>
              <w:gridCol w:w="213"/>
            </w:tblGrid>
            <w:tr>
              <w:tc>
                <w:tcPr>
                  <w:tcW w:type="dxa" w:w="2547"/>
                  <w:gridSpan w:val="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三原县南大街、北大街、盐店街及政府街楼体照明更新项目</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产品名称</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单价（元）</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总价（元）</w:t>
                  </w: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LED洗墙灯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1灯具尺寸：L1000*W28*H30MM</w:t>
                  </w:r>
                  <w:r>
                    <w:br/>
                  </w:r>
                  <w:r>
                    <w:rPr>
                      <w:rFonts w:ascii="仿宋_GB2312" w:hAnsi="仿宋_GB2312" w:cs="仿宋_GB2312" w:eastAsia="仿宋_GB2312"/>
                      <w:sz w:val="22"/>
                      <w:b/>
                      <w:color w:val="000000"/>
                    </w:rPr>
                    <w:t xml:space="preserve"> 2额定功率/LED颗数:12W/48PCS</w:t>
                  </w:r>
                  <w:r>
                    <w:br/>
                  </w:r>
                  <w:r>
                    <w:rPr>
                      <w:rFonts w:ascii="仿宋_GB2312" w:hAnsi="仿宋_GB2312" w:cs="仿宋_GB2312" w:eastAsia="仿宋_GB2312"/>
                      <w:sz w:val="22"/>
                      <w:b/>
                      <w:color w:val="000000"/>
                    </w:rPr>
                    <w:t xml:space="preserve"> 3色温/控制方式： 3500K/单色常亮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1882</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LED洗墙灯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1灯具尺寸：L500*W28*H30MM</w:t>
                  </w:r>
                  <w:r>
                    <w:br/>
                  </w:r>
                  <w:r>
                    <w:rPr>
                      <w:rFonts w:ascii="仿宋_GB2312" w:hAnsi="仿宋_GB2312" w:cs="仿宋_GB2312" w:eastAsia="仿宋_GB2312"/>
                      <w:sz w:val="22"/>
                      <w:b/>
                      <w:color w:val="000000"/>
                    </w:rPr>
                    <w:t xml:space="preserve"> 2额定功率/LED颗数:6W/24PCS</w:t>
                  </w:r>
                  <w:r>
                    <w:br/>
                  </w:r>
                  <w:r>
                    <w:rPr>
                      <w:rFonts w:ascii="仿宋_GB2312" w:hAnsi="仿宋_GB2312" w:cs="仿宋_GB2312" w:eastAsia="仿宋_GB2312"/>
                      <w:sz w:val="22"/>
                      <w:b/>
                      <w:color w:val="000000"/>
                    </w:rPr>
                    <w:t xml:space="preserve"> 3色温/控制方式： 3500K/单色常亮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LED洗墙灯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1灯具尺寸：L300*W28*H30MM</w:t>
                  </w:r>
                  <w:r>
                    <w:br/>
                  </w:r>
                  <w:r>
                    <w:rPr>
                      <w:rFonts w:ascii="仿宋_GB2312" w:hAnsi="仿宋_GB2312" w:cs="仿宋_GB2312" w:eastAsia="仿宋_GB2312"/>
                      <w:sz w:val="22"/>
                      <w:b/>
                      <w:color w:val="000000"/>
                    </w:rPr>
                    <w:t xml:space="preserve"> 2额定功率/LED颗数:4W/12PCS</w:t>
                  </w:r>
                  <w:r>
                    <w:br/>
                  </w:r>
                  <w:r>
                    <w:rPr>
                      <w:rFonts w:ascii="仿宋_GB2312" w:hAnsi="仿宋_GB2312" w:cs="仿宋_GB2312" w:eastAsia="仿宋_GB2312"/>
                      <w:sz w:val="22"/>
                      <w:b/>
                      <w:color w:val="000000"/>
                    </w:rPr>
                    <w:t xml:space="preserve"> 3色温/控制方式： 3500K/单色常亮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417</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LED洗墙灯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1灯具尺寸：L1000*W38*H28MM/喷塑</w:t>
                  </w:r>
                  <w:r>
                    <w:br/>
                  </w:r>
                  <w:r>
                    <w:rPr>
                      <w:rFonts w:ascii="仿宋_GB2312" w:hAnsi="仿宋_GB2312" w:cs="仿宋_GB2312" w:eastAsia="仿宋_GB2312"/>
                      <w:sz w:val="22"/>
                      <w:b/>
                      <w:color w:val="000000"/>
                    </w:rPr>
                    <w:t xml:space="preserve"> 2额定功率/LED颗数:36W/36PCS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LED洗墙灯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1灯具尺寸：L500*W38*H28MM</w:t>
                  </w:r>
                  <w:r>
                    <w:br/>
                  </w:r>
                  <w:r>
                    <w:rPr>
                      <w:rFonts w:ascii="仿宋_GB2312" w:hAnsi="仿宋_GB2312" w:cs="仿宋_GB2312" w:eastAsia="仿宋_GB2312"/>
                      <w:sz w:val="22"/>
                      <w:b/>
                      <w:color w:val="000000"/>
                    </w:rPr>
                    <w:t xml:space="preserve"> 2额定功率/LED颗数:18W/18PCS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LED洗墙灯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1灯具尺寸：L500*W38*H28MM</w:t>
                  </w:r>
                  <w:r>
                    <w:br/>
                  </w:r>
                  <w:r>
                    <w:rPr>
                      <w:rFonts w:ascii="仿宋_GB2312" w:hAnsi="仿宋_GB2312" w:cs="仿宋_GB2312" w:eastAsia="仿宋_GB2312"/>
                      <w:sz w:val="22"/>
                      <w:b/>
                      <w:color w:val="000000"/>
                    </w:rPr>
                    <w:t xml:space="preserve"> 2额定功率/LED颗数:12W/12PCS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LED线条灯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1灯具尺寸：L1000*W28*H30MM</w:t>
                  </w:r>
                  <w:r>
                    <w:br/>
                  </w:r>
                  <w:r>
                    <w:rPr>
                      <w:rFonts w:ascii="仿宋_GB2312" w:hAnsi="仿宋_GB2312" w:cs="仿宋_GB2312" w:eastAsia="仿宋_GB2312"/>
                      <w:sz w:val="22"/>
                      <w:b/>
                      <w:color w:val="000000"/>
                    </w:rPr>
                    <w:t xml:space="preserve"> 2额定功率/LED颗数:12W/48PCS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4电压/配光角度：DC24V/120°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1983</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LED线条灯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1灯具尺寸：L500*W28*H30MM</w:t>
                  </w:r>
                  <w:r>
                    <w:br/>
                  </w:r>
                  <w:r>
                    <w:rPr>
                      <w:rFonts w:ascii="仿宋_GB2312" w:hAnsi="仿宋_GB2312" w:cs="仿宋_GB2312" w:eastAsia="仿宋_GB2312"/>
                      <w:sz w:val="22"/>
                      <w:b/>
                      <w:color w:val="000000"/>
                    </w:rPr>
                    <w:t xml:space="preserve"> 2额定功率/LED颗数:6W/24PCS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4电压/配光角度：DC24V/120°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LED线条灯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1灯具尺寸：L300*W28*H30MM</w:t>
                  </w:r>
                  <w:r>
                    <w:br/>
                  </w:r>
                  <w:r>
                    <w:rPr>
                      <w:rFonts w:ascii="仿宋_GB2312" w:hAnsi="仿宋_GB2312" w:cs="仿宋_GB2312" w:eastAsia="仿宋_GB2312"/>
                      <w:sz w:val="22"/>
                      <w:b/>
                      <w:color w:val="000000"/>
                    </w:rPr>
                    <w:t xml:space="preserve"> 2额定功率/LED颗数:4W/12PCS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6防水插头：实心尼龙插头</w:t>
                  </w:r>
                  <w:r>
                    <w:br/>
                  </w:r>
                  <w:r>
                    <w:rPr>
                      <w:rFonts w:ascii="仿宋_GB2312" w:hAnsi="仿宋_GB2312" w:cs="仿宋_GB2312" w:eastAsia="仿宋_GB2312"/>
                      <w:sz w:val="22"/>
                      <w:b/>
                      <w:color w:val="000000"/>
                    </w:rPr>
                    <w:t xml:space="preserve"> 7防护等级：IP65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FF0000"/>
                    </w:rPr>
                    <w:t>10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LED投光灯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1灯具尺寸：L166*W116.3*H152</w:t>
                  </w:r>
                  <w:r>
                    <w:br/>
                  </w:r>
                  <w:r>
                    <w:rPr>
                      <w:rFonts w:ascii="仿宋_GB2312" w:hAnsi="仿宋_GB2312" w:cs="仿宋_GB2312" w:eastAsia="仿宋_GB2312"/>
                      <w:sz w:val="22"/>
                      <w:b/>
                      <w:color w:val="000000"/>
                    </w:rPr>
                    <w:t xml:space="preserve"> 2额定功率/LED颗数:18W/18PCS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4电压/配光角度：明纬AC220V/45°</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FF0000"/>
                    </w:rPr>
                    <w:t>11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LED投光灯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1灯具尺寸：L489*W116.3*H152</w:t>
                  </w:r>
                  <w:r>
                    <w:br/>
                  </w:r>
                  <w:r>
                    <w:rPr>
                      <w:rFonts w:ascii="仿宋_GB2312" w:hAnsi="仿宋_GB2312" w:cs="仿宋_GB2312" w:eastAsia="仿宋_GB2312"/>
                      <w:sz w:val="22"/>
                      <w:b/>
                      <w:color w:val="000000"/>
                    </w:rPr>
                    <w:t xml:space="preserve"> 2额定功率/LED颗数:72W/72PCS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4电压/配光角度：明纬AC220V/60°</w:t>
                  </w:r>
                  <w:r>
                    <w:br/>
                  </w:r>
                  <w:r>
                    <w:rPr>
                      <w:rFonts w:ascii="仿宋_GB2312" w:hAnsi="仿宋_GB2312" w:cs="仿宋_GB2312" w:eastAsia="仿宋_GB2312"/>
                      <w:sz w:val="22"/>
                      <w:b/>
                      <w:color w:val="000000"/>
                    </w:rPr>
                    <w:t xml:space="preserve"> 5材质/光源芯片：拉伸铝喷塑/欧司朗</w:t>
                  </w:r>
                  <w:r>
                    <w:br/>
                  </w:r>
                  <w:r>
                    <w:rPr>
                      <w:rFonts w:ascii="仿宋_GB2312" w:hAnsi="仿宋_GB2312" w:cs="仿宋_GB2312" w:eastAsia="仿宋_GB2312"/>
                      <w:sz w:val="22"/>
                      <w:b/>
                      <w:color w:val="000000"/>
                    </w:rPr>
                    <w:t xml:space="preserve"> 6防护等级：IP65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四向壁灯</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1灯具尺寸：Φ125*H80mm（平面不发光改成铝板）</w:t>
                  </w:r>
                  <w:r>
                    <w:br/>
                  </w:r>
                  <w:r>
                    <w:rPr>
                      <w:rFonts w:ascii="仿宋_GB2312" w:hAnsi="仿宋_GB2312" w:cs="仿宋_GB2312" w:eastAsia="仿宋_GB2312"/>
                      <w:sz w:val="22"/>
                      <w:color w:val="000000"/>
                    </w:rPr>
                    <w:t xml:space="preserve"> 2额定功率/LED颗数:8W/4PCS</w:t>
                  </w:r>
                  <w:r>
                    <w:br/>
                  </w:r>
                  <w:r>
                    <w:rPr>
                      <w:rFonts w:ascii="仿宋_GB2312" w:hAnsi="仿宋_GB2312" w:cs="仿宋_GB2312" w:eastAsia="仿宋_GB2312"/>
                      <w:sz w:val="22"/>
                      <w:color w:val="000000"/>
                    </w:rPr>
                    <w:t xml:space="preserve"> 3色温/控制方式： 3500K/单色常亮</w:t>
                  </w:r>
                  <w:r>
                    <w:br/>
                  </w:r>
                  <w:r>
                    <w:rPr>
                      <w:rFonts w:ascii="仿宋_GB2312" w:hAnsi="仿宋_GB2312" w:cs="仿宋_GB2312" w:eastAsia="仿宋_GB2312"/>
                      <w:sz w:val="22"/>
                      <w:color w:val="000000"/>
                    </w:rPr>
                    <w:t xml:space="preserve"> 4电压/配光角度：DC24V/30°</w:t>
                  </w:r>
                  <w:r>
                    <w:br/>
                  </w:r>
                  <w:r>
                    <w:rPr>
                      <w:rFonts w:ascii="仿宋_GB2312" w:hAnsi="仿宋_GB2312" w:cs="仿宋_GB2312" w:eastAsia="仿宋_GB2312"/>
                      <w:sz w:val="22"/>
                      <w:color w:val="000000"/>
                    </w:rPr>
                    <w:t xml:space="preserve"> 5材质/光源芯片：压铸铝喷塑/欧司朗</w:t>
                  </w:r>
                  <w:r>
                    <w:br/>
                  </w:r>
                  <w:r>
                    <w:rPr>
                      <w:rFonts w:ascii="仿宋_GB2312" w:hAnsi="仿宋_GB2312" w:cs="仿宋_GB2312" w:eastAsia="仿宋_GB2312"/>
                      <w:sz w:val="22"/>
                      <w:color w:val="000000"/>
                    </w:rPr>
                    <w:t xml:space="preserve"> 6防护等级：IP65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点光源</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1灯具尺寸：○100</w:t>
                  </w:r>
                  <w:r>
                    <w:br/>
                  </w:r>
                  <w:r>
                    <w:rPr>
                      <w:rFonts w:ascii="仿宋_GB2312" w:hAnsi="仿宋_GB2312" w:cs="仿宋_GB2312" w:eastAsia="仿宋_GB2312"/>
                      <w:sz w:val="22"/>
                      <w:b/>
                      <w:color w:val="000000"/>
                    </w:rPr>
                    <w:t xml:space="preserve"> 2额定功率/LED颗数:5W/12PCS</w:t>
                  </w:r>
                  <w:r>
                    <w:br/>
                  </w:r>
                  <w:r>
                    <w:rPr>
                      <w:rFonts w:ascii="仿宋_GB2312" w:hAnsi="仿宋_GB2312" w:cs="仿宋_GB2312" w:eastAsia="仿宋_GB2312"/>
                      <w:sz w:val="22"/>
                      <w:b/>
                      <w:color w:val="000000"/>
                    </w:rPr>
                    <w:t xml:space="preserve"> 3色温/控制方式： 3000K/单色常亮</w:t>
                  </w:r>
                  <w:r>
                    <w:br/>
                  </w:r>
                  <w:r>
                    <w:rPr>
                      <w:rFonts w:ascii="仿宋_GB2312" w:hAnsi="仿宋_GB2312" w:cs="仿宋_GB2312" w:eastAsia="仿宋_GB2312"/>
                      <w:sz w:val="22"/>
                      <w:b/>
                      <w:color w:val="000000"/>
                    </w:rPr>
                    <w:t xml:space="preserve"> 4电压/配光角度：DC24V/120°</w:t>
                  </w:r>
                  <w:r>
                    <w:br/>
                  </w:r>
                  <w:r>
                    <w:rPr>
                      <w:rFonts w:ascii="仿宋_GB2312" w:hAnsi="仿宋_GB2312" w:cs="仿宋_GB2312" w:eastAsia="仿宋_GB2312"/>
                      <w:sz w:val="22"/>
                      <w:b/>
                      <w:color w:val="000000"/>
                    </w:rPr>
                    <w:t xml:space="preserve"> 5材质/光源芯片：压铸铝喷塑/欧司朗</w:t>
                  </w:r>
                  <w:r>
                    <w:br/>
                  </w:r>
                  <w:r>
                    <w:rPr>
                      <w:rFonts w:ascii="仿宋_GB2312" w:hAnsi="仿宋_GB2312" w:cs="仿宋_GB2312" w:eastAsia="仿宋_GB2312"/>
                      <w:sz w:val="22"/>
                      <w:b/>
                      <w:color w:val="000000"/>
                    </w:rPr>
                    <w:t xml:space="preserve"> 6防护等级：IP65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电缆</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交联聚乙烯绝缘聚氯乙烯护套铜芯电力电缆-YJV3*4</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4680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电缆</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聚氯乙烯绝缘聚氯乙烯护套软电缆-RVV2*2.5</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6500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电缆</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交联聚乙烯绝缘聚氯乙烯护套铝芯电力电缆-YJLV 4*10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铝合金线槽</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MR40*50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1852</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铝合金线槽</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MR20*30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3990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开关电源</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明纬电源 防雨DC24V/400W</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246</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配电箱</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1配电箱尺寸：800mm*700mm*200mm</w:t>
                  </w:r>
                  <w:r>
                    <w:br/>
                  </w:r>
                  <w:r>
                    <w:rPr>
                      <w:rFonts w:ascii="仿宋_GB2312" w:hAnsi="仿宋_GB2312" w:cs="仿宋_GB2312" w:eastAsia="仿宋_GB2312"/>
                      <w:sz w:val="22"/>
                      <w:b/>
                      <w:color w:val="000000"/>
                    </w:rPr>
                    <w:t xml:space="preserve"> 2材质：采用304不锈钢制造，厚度为1.2mm，表面采用耐高温和防腐喷涂处理，应满应满足JG/T3045.2(钢门窗粉末静电喷涂涂层技术条件）相关要求，涂层厚度大于70UM</w:t>
                  </w:r>
                  <w:r>
                    <w:br/>
                  </w:r>
                  <w:r>
                    <w:rPr>
                      <w:rFonts w:ascii="仿宋_GB2312" w:hAnsi="仿宋_GB2312" w:cs="仿宋_GB2312" w:eastAsia="仿宋_GB2312"/>
                      <w:sz w:val="22"/>
                      <w:b/>
                      <w:color w:val="000000"/>
                    </w:rPr>
                    <w:t xml:space="preserve"> 3箱内配德力西CJX2-3210交流接触器，断路器3p/100A（NXM德力西)德力西漏电保护器（NXBLE-25A),地排，接线鼻子，导轨，线槽。</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集中控制系统</w:t>
                  </w:r>
                </w:p>
              </w:tc>
              <w:tc>
                <w:tcPr>
                  <w:tcW w:type="dxa" w:w="12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b/>
                      <w:color w:val="000000"/>
                    </w:rPr>
                    <w:t>A.监控终端设备采用模块化设计，体积精致小巧，便于安装B.监控设备采用强弱电分体设计的结构形式，方便维护，模块支持热插拔；C.可支持采用4G/5G/CAT1通讯方式；D.无线通信设备具备远程切换其IP指向和连接端口的功能；E.能根据预定参数自动生成随工程目的地日出日落时间变化的全年回路开关控制时间表；F.具有时间控制模式、跟随日出日落控制模式、周末和节假日控制模式，并能够根据需要设置是否启用。同时要求具备分批依次开关的顺序控制功能；</w:t>
                  </w:r>
                  <w:r>
                    <w:br/>
                  </w:r>
                  <w:r>
                    <w:rPr>
                      <w:rFonts w:ascii="仿宋_GB2312" w:hAnsi="仿宋_GB2312" w:cs="仿宋_GB2312" w:eastAsia="仿宋_GB2312"/>
                      <w:sz w:val="22"/>
                      <w:b/>
                      <w:color w:val="000000"/>
                    </w:rPr>
                    <w:t xml:space="preserve"> G.具有检测回路开关实际工作状态功能，开关状态翻转能主动通知调度中心；H.★具有现场手动开关灯操作的键盘或按钮；</w:t>
                  </w:r>
                  <w:r>
                    <w:br/>
                  </w:r>
                  <w:r>
                    <w:rPr>
                      <w:rFonts w:ascii="仿宋_GB2312" w:hAnsi="仿宋_GB2312" w:cs="仿宋_GB2312" w:eastAsia="仿宋_GB2312"/>
                      <w:sz w:val="22"/>
                      <w:b/>
                      <w:color w:val="000000"/>
                    </w:rPr>
                    <w:t xml:space="preserve"> I.终端内部可采集三相电源电压、电流、三相功率（含功率因数）等参数，具有电源缺相和停电故障判断能力；</w:t>
                  </w:r>
                  <w:r>
                    <w:br/>
                  </w:r>
                  <w:r>
                    <w:rPr>
                      <w:rFonts w:ascii="仿宋_GB2312" w:hAnsi="仿宋_GB2312" w:cs="仿宋_GB2312" w:eastAsia="仿宋_GB2312"/>
                      <w:sz w:val="22"/>
                      <w:b/>
                      <w:color w:val="000000"/>
                    </w:rPr>
                    <w:t xml:space="preserve"> J.终端本身具有电量采集功能，采集精度不低于0.5％；。</w:t>
                  </w:r>
                  <w:r>
                    <w:br/>
                  </w:r>
                  <w:r>
                    <w:rPr>
                      <w:rFonts w:ascii="仿宋_GB2312" w:hAnsi="仿宋_GB2312" w:cs="仿宋_GB2312" w:eastAsia="仿宋_GB2312"/>
                      <w:sz w:val="22"/>
                      <w:b/>
                      <w:color w:val="000000"/>
                    </w:rPr>
                    <w:t xml:space="preserve"> K.可以提供8路以上继电器的控制输出，用于独立控制回路；</w:t>
                  </w:r>
                  <w:r>
                    <w:br/>
                  </w:r>
                  <w:r>
                    <w:rPr>
                      <w:rFonts w:ascii="仿宋_GB2312" w:hAnsi="仿宋_GB2312" w:cs="仿宋_GB2312" w:eastAsia="仿宋_GB2312"/>
                      <w:sz w:val="22"/>
                      <w:b/>
                      <w:color w:val="000000"/>
                    </w:rPr>
                    <w:t xml:space="preserve"> L.具有2路485输出接口，1路232通信扩展接口，1路TTL输出接口</w:t>
                  </w:r>
                  <w:r>
                    <w:br/>
                  </w:r>
                  <w:r>
                    <w:rPr>
                      <w:rFonts w:ascii="仿宋_GB2312" w:hAnsi="仿宋_GB2312" w:cs="仿宋_GB2312" w:eastAsia="仿宋_GB2312"/>
                      <w:sz w:val="22"/>
                      <w:b/>
                      <w:color w:val="000000"/>
                    </w:rPr>
                    <w:t xml:space="preserve"> M.三相火线和零线，缺其中任意一相均能正常工作</w:t>
                  </w:r>
                  <w:r>
                    <w:br/>
                  </w:r>
                  <w:r>
                    <w:rPr>
                      <w:rFonts w:ascii="仿宋_GB2312" w:hAnsi="仿宋_GB2312" w:cs="仿宋_GB2312" w:eastAsia="仿宋_GB2312"/>
                      <w:sz w:val="22"/>
                      <w:b/>
                      <w:color w:val="000000"/>
                    </w:rPr>
                    <w:t xml:space="preserve"> N.手机能够远程控制各个配电箱的打开、关闭、恢复计划运行。能够查询各配电箱的三相电压、三相电流、门禁防盗状态。</w:t>
                  </w:r>
                  <w:r>
                    <w:br/>
                  </w:r>
                  <w:r>
                    <w:rPr>
                      <w:rFonts w:ascii="仿宋_GB2312" w:hAnsi="仿宋_GB2312" w:cs="仿宋_GB2312" w:eastAsia="仿宋_GB2312"/>
                      <w:sz w:val="22"/>
                      <w:b/>
                      <w:color w:val="000000"/>
                    </w:rPr>
                    <w:t xml:space="preserve"> O.为了保证开关灯时间的精确。终端在断网时能确保开关灯执行时间无误差；在断电或断网重新恢复后，终端的自动运行不错乱</w:t>
                  </w:r>
                  <w:r>
                    <w:br/>
                  </w:r>
                  <w:r>
                    <w:rPr>
                      <w:rFonts w:ascii="仿宋_GB2312" w:hAnsi="仿宋_GB2312" w:cs="仿宋_GB2312" w:eastAsia="仿宋_GB2312"/>
                      <w:sz w:val="22"/>
                      <w:b/>
                      <w:color w:val="000000"/>
                    </w:rPr>
                    <w:t xml:space="preserve"> P.监控终端内置电池，停电后仍能继续工作。</w:t>
                  </w:r>
                  <w:r>
                    <w:br/>
                  </w:r>
                  <w:r>
                    <w:rPr>
                      <w:rFonts w:ascii="仿宋_GB2312" w:hAnsi="仿宋_GB2312" w:cs="仿宋_GB2312" w:eastAsia="仿宋_GB2312"/>
                      <w:sz w:val="22"/>
                      <w:b/>
                      <w:color w:val="000000"/>
                    </w:rPr>
                    <w:t xml:space="preserve"> Q.控制终端具有防浪涌（冲击）能力，能够承受不低于5KV以上电压，且在对电源（线-线）/电源（线-地）分别施加±5kV试验过程中设备应正常工作；</w:t>
                  </w:r>
                  <w:r>
                    <w:br/>
                  </w:r>
                  <w:r>
                    <w:rPr>
                      <w:rFonts w:ascii="仿宋_GB2312" w:hAnsi="仿宋_GB2312" w:cs="仿宋_GB2312" w:eastAsia="仿宋_GB2312"/>
                      <w:sz w:val="22"/>
                      <w:b/>
                      <w:color w:val="000000"/>
                    </w:rPr>
                    <w:t xml:space="preserve"> R.控制终端具有抗静电干扰能力，能够承受空气放电正负15KV，接触放电正负10KV，且在15KV或10KV的试验过程中设备应正常工作；</w:t>
                  </w:r>
                  <w:r>
                    <w:br/>
                  </w:r>
                  <w:r>
                    <w:rPr>
                      <w:rFonts w:ascii="仿宋_GB2312" w:hAnsi="仿宋_GB2312" w:cs="仿宋_GB2312" w:eastAsia="仿宋_GB2312"/>
                      <w:sz w:val="22"/>
                      <w:b/>
                      <w:color w:val="000000"/>
                    </w:rPr>
                    <w:t xml:space="preserve"> S.集中控制器具有电快速脉冲群抗扰能力，能够承受正负4KV以上快速脉冲群干扰的；</w:t>
                  </w:r>
                  <w:r>
                    <w:br/>
                  </w:r>
                  <w:r>
                    <w:rPr>
                      <w:rFonts w:ascii="仿宋_GB2312" w:hAnsi="仿宋_GB2312" w:cs="仿宋_GB2312" w:eastAsia="仿宋_GB2312"/>
                      <w:sz w:val="22"/>
                      <w:b/>
                      <w:color w:val="000000"/>
                    </w:rPr>
                    <w:t xml:space="preserve"> T.具有扩展37路以上支路电流采集功能；</w:t>
                  </w:r>
                  <w:r>
                    <w:br/>
                  </w:r>
                  <w:r>
                    <w:rPr>
                      <w:rFonts w:ascii="仿宋_GB2312" w:hAnsi="仿宋_GB2312" w:cs="仿宋_GB2312" w:eastAsia="仿宋_GB2312"/>
                      <w:sz w:val="22"/>
                      <w:b/>
                      <w:color w:val="000000"/>
                    </w:rPr>
                    <w:t xml:space="preserve"> U.工作环境温度：监控终端为-40℃---85℃。2.1 基本功能参数</w:t>
                  </w:r>
                  <w:r>
                    <w:br/>
                  </w:r>
                  <w:r>
                    <w:rPr>
                      <w:rFonts w:ascii="仿宋_GB2312" w:hAnsi="仿宋_GB2312" w:cs="仿宋_GB2312" w:eastAsia="仿宋_GB2312"/>
                      <w:sz w:val="22"/>
                      <w:b/>
                      <w:color w:val="000000"/>
                    </w:rPr>
                    <w:t xml:space="preserve"> A.实现灯光监控的“三遥”功能，实现自动运行和手动遥控互换；自动巡测、手动巡测和选测。</w:t>
                  </w:r>
                  <w:r>
                    <w:br/>
                  </w:r>
                  <w:r>
                    <w:rPr>
                      <w:rFonts w:ascii="仿宋_GB2312" w:hAnsi="仿宋_GB2312" w:cs="仿宋_GB2312" w:eastAsia="仿宋_GB2312"/>
                      <w:sz w:val="22"/>
                      <w:b/>
                      <w:color w:val="000000"/>
                    </w:rPr>
                    <w:t xml:space="preserve"> B.实时数据获取：可以设置定时和手动巡测，能将所有终端的实时电能（电流、电压、有功功率、无功功率 、功率因数）、开关状态等数据全部采集并显示保存。</w:t>
                  </w:r>
                  <w:r>
                    <w:br/>
                  </w:r>
                  <w:r>
                    <w:rPr>
                      <w:rFonts w:ascii="仿宋_GB2312" w:hAnsi="仿宋_GB2312" w:cs="仿宋_GB2312" w:eastAsia="仿宋_GB2312"/>
                      <w:sz w:val="22"/>
                      <w:b/>
                      <w:color w:val="000000"/>
                    </w:rPr>
                    <w:t xml:space="preserve"> C.实现自动分组控制，对终端设备进行添加、删除、修改、搜索和定位等，同时可以根据需要对终端设备进行分组管理，不同的分组依据在窗口上显示不同的数据结构图。</w:t>
                  </w:r>
                  <w:r>
                    <w:br/>
                  </w:r>
                  <w:r>
                    <w:rPr>
                      <w:rFonts w:ascii="仿宋_GB2312" w:hAnsi="仿宋_GB2312" w:cs="仿宋_GB2312" w:eastAsia="仿宋_GB2312"/>
                      <w:sz w:val="22"/>
                      <w:b/>
                      <w:color w:val="000000"/>
                    </w:rPr>
                    <w:t xml:space="preserve"> D.具有对系统故障信息进行即时捕捉并报警；报警内容包括：状态异常、电池供电、反馈异常、电流告警、电压告警等。</w:t>
                  </w:r>
                  <w:r>
                    <w:br/>
                  </w:r>
                  <w:r>
                    <w:rPr>
                      <w:rFonts w:ascii="仿宋_GB2312" w:hAnsi="仿宋_GB2312" w:cs="仿宋_GB2312" w:eastAsia="仿宋_GB2312"/>
                      <w:sz w:val="22"/>
                      <w:b/>
                      <w:color w:val="000000"/>
                    </w:rPr>
                    <w:t xml:space="preserve"> E.配电箱门打开可自动告警。</w:t>
                  </w:r>
                  <w:r>
                    <w:br/>
                  </w:r>
                  <w:r>
                    <w:rPr>
                      <w:rFonts w:ascii="仿宋_GB2312" w:hAnsi="仿宋_GB2312" w:cs="仿宋_GB2312" w:eastAsia="仿宋_GB2312"/>
                      <w:sz w:val="22"/>
                      <w:b/>
                      <w:color w:val="000000"/>
                    </w:rPr>
                    <w:t xml:space="preserve"> F.配电箱异常断电可及时告警，通过微信或短信方式发送给相关管理人员。</w:t>
                  </w:r>
                  <w:r>
                    <w:br/>
                  </w:r>
                  <w:r>
                    <w:rPr>
                      <w:rFonts w:ascii="仿宋_GB2312" w:hAnsi="仿宋_GB2312" w:cs="仿宋_GB2312" w:eastAsia="仿宋_GB2312"/>
                      <w:sz w:val="22"/>
                      <w:b/>
                      <w:color w:val="000000"/>
                    </w:rPr>
                    <w:t xml:space="preserve"> G.报表查询打印功能，报表查询打印：可对各监控终端实现任意定时数据和年、月报警报表、日统计数据的查询和打印；对历史故障进行查询，打印。</w:t>
                  </w:r>
                  <w:r>
                    <w:br/>
                  </w:r>
                  <w:r>
                    <w:rPr>
                      <w:rFonts w:ascii="仿宋_GB2312" w:hAnsi="仿宋_GB2312" w:cs="仿宋_GB2312" w:eastAsia="仿宋_GB2312"/>
                      <w:sz w:val="22"/>
                      <w:b/>
                      <w:color w:val="000000"/>
                    </w:rPr>
                    <w:t xml:space="preserve"> H.手动/自动控制方案：</w:t>
                  </w:r>
                  <w:r>
                    <w:br/>
                  </w:r>
                  <w:r>
                    <w:rPr>
                      <w:rFonts w:ascii="仿宋_GB2312" w:hAnsi="仿宋_GB2312" w:cs="仿宋_GB2312" w:eastAsia="仿宋_GB2312"/>
                      <w:sz w:val="22"/>
                      <w:b/>
                      <w:color w:val="000000"/>
                    </w:rPr>
                    <w:t xml:space="preserve">    手动控制：可以对设备进行手工开关</w:t>
                  </w:r>
                  <w:r>
                    <w:br/>
                  </w:r>
                  <w:r>
                    <w:rPr>
                      <w:rFonts w:ascii="仿宋_GB2312" w:hAnsi="仿宋_GB2312" w:cs="仿宋_GB2312" w:eastAsia="仿宋_GB2312"/>
                      <w:sz w:val="22"/>
                      <w:b/>
                      <w:color w:val="000000"/>
                    </w:rPr>
                    <w:t xml:space="preserve"> 自动控制：根据应用场景设置预定策略，多种开关灯控制模式：可以定时开关灯时间设置；可以按照日出、日落时间配置；可以按照节假日进行配置；可以根据户外亮度配置；可以按照时间、经纬度、节假日、光控进行参数组合；可以定时进行经纬度、光控组合。</w:t>
                  </w:r>
                  <w:r>
                    <w:br/>
                  </w:r>
                  <w:r>
                    <w:rPr>
                      <w:rFonts w:ascii="仿宋_GB2312" w:hAnsi="仿宋_GB2312" w:cs="仿宋_GB2312" w:eastAsia="仿宋_GB2312"/>
                      <w:sz w:val="22"/>
                      <w:b/>
                      <w:color w:val="000000"/>
                    </w:rPr>
                    <w:t xml:space="preserve"> I.集成地理信息系统(GIS)：支持提供地图缩放和平移功能，提供方便的地图经纬度编辑以及数据统计功能；结合GIS地理信息，可以实现在地图模式下对每个控制点实现开灯控制、控制点资产信息、基础信息、运行信息、电气信息、现场图片、电参数信息进行查询和展示；支持设备的单控、组控和群控；</w:t>
                  </w:r>
                  <w:r>
                    <w:br/>
                  </w:r>
                  <w:r>
                    <w:rPr>
                      <w:rFonts w:ascii="仿宋_GB2312" w:hAnsi="仿宋_GB2312" w:cs="仿宋_GB2312" w:eastAsia="仿宋_GB2312"/>
                      <w:sz w:val="22"/>
                      <w:b/>
                      <w:color w:val="000000"/>
                    </w:rPr>
                    <w:t xml:space="preserve"> J.远程监控和查询：通过互联网，实现对系统的远程接管和远程实时查询。</w:t>
                  </w:r>
                  <w:r>
                    <w:br/>
                  </w:r>
                  <w:r>
                    <w:rPr>
                      <w:rFonts w:ascii="仿宋_GB2312" w:hAnsi="仿宋_GB2312" w:cs="仿宋_GB2312" w:eastAsia="仿宋_GB2312"/>
                      <w:sz w:val="22"/>
                      <w:b/>
                      <w:color w:val="000000"/>
                    </w:rPr>
                    <w:t xml:space="preserve"> K.具备系统档案管理功能，即能够进行终端设备的添加、删除、编辑和参数设置等，同时可以根据需要对设备进行分区管理，用户界面上需要显示相应的系统结构图；</w:t>
                  </w:r>
                  <w:r>
                    <w:br/>
                  </w:r>
                  <w:r>
                    <w:rPr>
                      <w:rFonts w:ascii="仿宋_GB2312" w:hAnsi="仿宋_GB2312" w:cs="仿宋_GB2312" w:eastAsia="仿宋_GB2312"/>
                      <w:sz w:val="22"/>
                      <w:b/>
                      <w:color w:val="000000"/>
                    </w:rPr>
                    <w:t xml:space="preserve"> L.具有自动校时系统：系统时钟自动与国家授时中心服务器同步，系统定时对终端设备进行精确校时</w:t>
                  </w:r>
                  <w:r>
                    <w:br/>
                  </w:r>
                  <w:r>
                    <w:rPr>
                      <w:rFonts w:ascii="仿宋_GB2312" w:hAnsi="仿宋_GB2312" w:cs="仿宋_GB2312" w:eastAsia="仿宋_GB2312"/>
                      <w:sz w:val="22"/>
                      <w:b/>
                      <w:color w:val="000000"/>
                    </w:rPr>
                    <w:t xml:space="preserve"> M.可以按设定时间周期（可以根据开/关灯前后任 意选取不同的周期）自动进行定时巡测；</w:t>
                  </w:r>
                  <w:r>
                    <w:br/>
                  </w:r>
                  <w:r>
                    <w:rPr>
                      <w:rFonts w:ascii="仿宋_GB2312" w:hAnsi="仿宋_GB2312" w:cs="仿宋_GB2312" w:eastAsia="仿宋_GB2312"/>
                      <w:sz w:val="22"/>
                      <w:b/>
                      <w:color w:val="000000"/>
                    </w:rPr>
                    <w:t xml:space="preserve"> N.具有工作人员管理权限设置功能；</w:t>
                  </w:r>
                  <w:r>
                    <w:br/>
                  </w:r>
                  <w:r>
                    <w:rPr>
                      <w:rFonts w:ascii="仿宋_GB2312" w:hAnsi="仿宋_GB2312" w:cs="仿宋_GB2312" w:eastAsia="仿宋_GB2312"/>
                      <w:sz w:val="22"/>
                      <w:b/>
                      <w:color w:val="000000"/>
                    </w:rPr>
                    <w:t xml:space="preserve"> O.具有平台运营的能力，可以在同一服务器上，给不同用户划分不同权限，比如，一区的人，只能看到一区的相关灯。可以动态创建、修改各角色的权限范围，动态给用户调整角色权限。</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3"/>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7"/>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合计：            元</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LED洗墙灯</w:t>
            </w:r>
            <w:r>
              <w:rPr>
                <w:rFonts w:ascii="仿宋_GB2312" w:hAnsi="仿宋_GB2312" w:cs="仿宋_GB2312" w:eastAsia="仿宋_GB2312"/>
                <w:sz w:val="21"/>
              </w:rPr>
              <w:t>为核心产品，</w:t>
            </w:r>
            <w:r>
              <w:rPr>
                <w:rFonts w:ascii="仿宋_GB2312" w:hAnsi="仿宋_GB2312" w:cs="仿宋_GB2312" w:eastAsia="仿宋_GB2312"/>
                <w:sz w:val="21"/>
              </w:rPr>
              <w:t>核心产品要求提供不限于加盖生产厂家公章的原厂正品授权委托书</w:t>
            </w:r>
            <w:r>
              <w:rPr>
                <w:rFonts w:ascii="仿宋_GB2312" w:hAnsi="仿宋_GB2312" w:cs="仿宋_GB2312" w:eastAsia="仿宋_GB2312"/>
                <w:sz w:val="21"/>
              </w:rPr>
              <w:t>或销售协议或代理协议以及</w:t>
            </w:r>
            <w:r>
              <w:rPr>
                <w:rFonts w:ascii="仿宋_GB2312" w:hAnsi="仿宋_GB2312" w:cs="仿宋_GB2312" w:eastAsia="仿宋_GB2312"/>
                <w:sz w:val="21"/>
              </w:rPr>
              <w:t>原厂售后服务等相关证明资料，且多家供应商提供的核心产品品牌相同的，按财政部令第</w:t>
            </w:r>
            <w:r>
              <w:rPr>
                <w:rFonts w:ascii="仿宋_GB2312" w:hAnsi="仿宋_GB2312" w:cs="仿宋_GB2312" w:eastAsia="仿宋_GB2312"/>
                <w:sz w:val="21"/>
              </w:rPr>
              <w:t>87 号第三十一条规定处理。 使用综合评分法的采购项目，提供相同品牌产品且通过资格审查、符合性审查的不同供应商参加同一合同项下投标的，按一家供应商计算，评审后得分最高的同品牌供应 商获得中标供应商推荐资格；评审得分相同的，由采购人及评标委员会按照投标报价最低的方式确定一个供应商获得中标候选人推荐资格，其他同品牌供应商不作为中标候选人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1、合同签订生效后60个日历日内供货并安装调试完毕,达到交付使用标准。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供货安装完毕并通过验收后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通过决算后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按采购文件、投标文件及澄清函、项目检查情况等综合指标进行验收。各项指标均应符合验收标准及要求，并符合国家及行业标准要求。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质保期：所有产品质保一年，凡国家有规定的，优于招标文件要求的，按国家规定执行。 （1）供应商提供的产品及材料必须保证质量可靠，进货渠道正常，配置合理齐全，应全面满足招标文件的要求，招标文件未明确要求的内容，供应商须按采购产品主流标准配置或以采购人的要求为准。所供产品工艺质量应严格按国家最新发布的规范标准执行，如发生质量问题由供 应商承担全部责任。 （2）供应商应保证所有产品的完好无损包括配套包装，如有缺漏、损坏，由供应商负责调换、补齐或赔偿。 （3）采购人使用产品过程中因产品质量、产品缺陷及安装质量等造成人身伤亡、财产损失的，由供应商负责解决并承担 全部责任。 （4）质保期内每月至少一次免费维护，回访。 （5）对于存在质量问题或者短少的产品，供应商应在接到采购人的通知2个日历日内负责修复，调换、重新制作或补齐。 （6）在最终验收后的质量保证期内，供应商应对设计、工艺或材料等的缺陷而产生的故障负责（负责解决并承担全部费用）。质保期满后如出现此类问题亦应负责。 （7）供应商及所投产品的生产厂商应承诺质保期、维保期的售后服务条款（包括具体的服务内容、故障响应时间、响应方式、维修措施及时限、维护响应计划等方面），未提供任何质保期、维保期的售后服务条款或提供的内容不实的将会影响评审得分。 （8）对于未按约定提供质保服务的供应商或违约的供应商，采购人有权委托第三方进行维修，所产生的费用由供应商承担， 采购人有权从应付款项中直接扣除，不足部分应由供应商支付。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提供2023年度或2024年度经审计的财务报告或开标前三个月内基本账户开户银行开具的资信证明及基本存款账户信息；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 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提供2023年度或2024年度经审计的财务报告或开标前三个月内基本账户开户银行开具的资信证明及基本存款账户信息；</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提供开标前近六个月内已缴纳任意一个月完税凭证或税务机关开具的完税证明（任意税种）；依法免 税的应提供相关文件证明；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提供开标前六个月内已缴存的任意一个月的社会保障资金缴存证明或社保机构开具的社会保 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代理机构将现场进行 查询并留存）</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本项目不接受联合体投标。（书面声明）</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（2）《财政部司法部关于政府采购支持监狱企业发展有关问题的通知》（财库〔2014〕68号）； （3）《国务院办公厅关于建立政府强制采购节能产品制度的通知》（国办发〔2007〕51号）； （4）《财政部 环保总局关于环境标志产品政府采购实施的意见》（财库〔2006〕90号）； （5）《财政部国家发展改革委关于印发〈节能产品政府采购实施意见〉的通知》（财库〔2004〕185号）； （6）《财政部民政部中国残疾人联合会关于促进残疾人就业政府采购政策的通知》（财库〔2017〕141号）； （7）《财政部发展改革委生态环境部市场监管总局关于调整优化节能产品、环境标志产品政府采购执行机制的通知》（财库〔2019〕9号）； （8）《关于印发环境标志产品政府采购品目清单的通知》（财库〔2019〕18号）； （9）《关于印发节能产品政府采购品目清单的通知》（财库〔2019〕19号）； （10）《财政部农业农村部国家乡村振兴局关于运用政府采购政策支持乡村产业振兴的通知》财库〔2021〕19号； （11）《陕西省财政厅关于印发陕西省中小企业政府采购信用融资办法》（陕财办采〔2018〕23号）； （12）《陕西省财政厅关于加快推进我省中小企业政府采购信用融资工作的通知》（陕财办采〔2020〕15号）； （13）《陕西省财政厅关于进一步优化政府采购营商环境有关事项的通知》（陕财办采〔2023〕4号）； (14)其他需要落实的政府采购政策。</w:t>
            </w:r>
          </w:p>
        </w:tc>
        <w:tc>
          <w:tcPr>
            <w:tcW w:type="dxa" w:w="1661"/>
          </w:tcPr>
          <w:p>
            <w:pPr>
              <w:pStyle w:val="null3"/>
            </w:pPr>
            <w:r>
              <w:rPr>
                <w:rFonts w:ascii="仿宋_GB2312" w:hAnsi="仿宋_GB2312" w:cs="仿宋_GB2312" w:eastAsia="仿宋_GB2312"/>
              </w:rPr>
              <w:t>投标函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投标人投标报价未超出采购预算或最高限价且报价唯一</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不存在其它不符合法律法规或采购文件规定的投标无效情形</w:t>
            </w:r>
          </w:p>
        </w:tc>
        <w:tc>
          <w:tcPr>
            <w:tcW w:type="dxa" w:w="1661"/>
          </w:tcPr>
          <w:p>
            <w:pPr>
              <w:pStyle w:val="null3"/>
            </w:pPr>
            <w:r>
              <w:rPr>
                <w:rFonts w:ascii="仿宋_GB2312" w:hAnsi="仿宋_GB2312" w:cs="仿宋_GB2312" w:eastAsia="仿宋_GB2312"/>
              </w:rPr>
              <w:t>开标一览表 投标方案.docx 分项报价表.docx 供应商应提交的相关资格证明材料.docx 投标函 标的清单 投标文件封面 商务条款偏离表.docx 其他.docx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投标产品为节能、环保、环境标志产品清单中的产品，符合招标文件要求的，可优先采购。按其响应程度，每有一个计1分，本项最高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投标产品技术指标评审</w:t>
            </w:r>
          </w:p>
        </w:tc>
        <w:tc>
          <w:tcPr>
            <w:tcW w:type="dxa" w:w="2492"/>
          </w:tcPr>
          <w:p>
            <w:pPr>
              <w:pStyle w:val="null3"/>
            </w:pPr>
            <w:r>
              <w:rPr>
                <w:rFonts w:ascii="仿宋_GB2312" w:hAnsi="仿宋_GB2312" w:cs="仿宋_GB2312" w:eastAsia="仿宋_GB2312"/>
              </w:rPr>
              <w:t>1、投标产品的规格型号、技术指标、配置等描述完整、详细。设备的彩页、相应的功能证明材料（包括但不限于检测报告、官网和功能截图等功能证明材料）等进行评分。具体如下： （1）投标设备（产品）的参数等完全满足或优于采购要求、配置描述详细完整，具有有效证明文件，且证明资料齐全完整、详尽，根据实际响应情况得（22-30〕分； （2）投标设备（产品）参数个别存在负偏离，但不影响整体使用、有效证明文件比较齐全，根据实际响应情况得(15-22〕分； （3）投标设备（产品）参数不完整、简略，有效证明文件不齐全或未提供，根据实际响应情况得〔0-15〕分。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投标产品的可靠性评审</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需提供的证明文件包括但不限于原厂正品授权委托书、原厂售后服务、销售协议或代理协议、官网截图、检测报告、产品合格证明等），提供证明文件齐全、详细，≥5项得6分，提供2-4项得3分，不提供或提供不足2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对提供的具体详细可行的供货方案（人员安排、运输、安装）等进行综合评定。 方案完整详细且科学合理、 切实可行，供货计划及调配完全符合项目需求得（12-16〕分；方案一般，基本可行，能满足项目需求 ，得（7-12〕分；方案简略不详细、存有漏缺项，得〔0-7〕分。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者生产厂家2022年1月至今同类项目业绩，投标文件中附有其合同文件为依据（提供合同协议书完整复印件，签订时间为准），每提供一份业绩得2分，本项最高得8分。不提供或不按要求提供，本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根据各供应商的售后服务承诺，保修计划（包括具体的售后服务内容、响应方式、响应时间、问题管理、返修管理等）进行评审。 售后服务措施和承诺完整具体、详细，符合或优于项目实际需求，得(6-8]分； 售后服务措施和承诺内容一般，基本满足项目实际需求，得(4-6]分； 售后服务措施和承诺方案简略不详细得(0-4]分，未提供不得分。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满足招标文件要求且投标报价最低的为评标基准价，其价格分为满分。其他供应商的价格分统一按照下列公式计算：报价得分=（评标基准价/投标报价）×30。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