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版本号：ZHCG-SYGX-2025081520250822001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三原县东南片区更新改造专项规划编制服务项目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ZHCG-SYGX-20250815</w:t>
      </w:r>
      <w:r>
        <w:br/>
      </w:r>
      <w:r>
        <w:br/>
      </w:r>
      <w:r>
        <w:br/>
      </w:r>
    </w:p>
    <w:p>
      <w:pPr>
        <w:pStyle w:val="null3"/>
        <w:jc w:val="center"/>
        <w:outlineLvl w:val="2"/>
      </w:pPr>
      <w:r>
        <w:rPr>
          <w:rFonts w:ascii="仿宋_GB2312" w:hAnsi="仿宋_GB2312" w:cs="仿宋_GB2312" w:eastAsia="仿宋_GB2312"/>
          <w:sz w:val="28"/>
          <w:b/>
        </w:rPr>
        <w:t>三原高新技术产业开发区管理委员会</w:t>
      </w:r>
    </w:p>
    <w:p>
      <w:pPr>
        <w:pStyle w:val="null3"/>
        <w:jc w:val="center"/>
        <w:outlineLvl w:val="2"/>
      </w:pPr>
      <w:r>
        <w:rPr>
          <w:rFonts w:ascii="仿宋_GB2312" w:hAnsi="仿宋_GB2312" w:cs="仿宋_GB2312" w:eastAsia="仿宋_GB2312"/>
          <w:sz w:val="28"/>
          <w:b/>
        </w:rPr>
        <w:t>正和丽景项目管理有限公司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正和丽景项目管理有限公司</w:t>
      </w:r>
      <w:r>
        <w:rPr>
          <w:rFonts w:ascii="仿宋_GB2312" w:hAnsi="仿宋_GB2312" w:cs="仿宋_GB2312" w:eastAsia="仿宋_GB2312"/>
        </w:rPr>
        <w:t>（以下简称“代理机构”）受</w:t>
      </w:r>
      <w:r>
        <w:rPr>
          <w:rFonts w:ascii="仿宋_GB2312" w:hAnsi="仿宋_GB2312" w:cs="仿宋_GB2312" w:eastAsia="仿宋_GB2312"/>
        </w:rPr>
        <w:t>三原高新技术产业开发区管理委员会</w:t>
      </w:r>
      <w:r>
        <w:rPr>
          <w:rFonts w:ascii="仿宋_GB2312" w:hAnsi="仿宋_GB2312" w:cs="仿宋_GB2312" w:eastAsia="仿宋_GB2312"/>
        </w:rPr>
        <w:t>委托，拟对</w:t>
      </w:r>
      <w:r>
        <w:rPr>
          <w:rFonts w:ascii="仿宋_GB2312" w:hAnsi="仿宋_GB2312" w:cs="仿宋_GB2312" w:eastAsia="仿宋_GB2312"/>
        </w:rPr>
        <w:t>三原县东南片区更新改造专项规划编制服务项目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ZHCG-SYGX-20250815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三原县东南片区更新改造专项规划编制服务项目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县东南片区更新改造专项规划》聚焦开发区未来12年发展，期限为2023-2035年，规划范围总面积1045公顷，涵盖东南片区、城乡统筹区等多个产业片区。核心内容包括“一心三轴多园区”布局，以及交通、市政、智慧园区、环保等多方面规划，实现产城融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1、有效的主体资格证明：供应商为具备独立承担民事责任能力的法人、其他组织或自然人，并出具合法有效的营业执照或事业单位法人证书等国家规定的相关证明，自然人参与的提供其身份证明书；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审计报告：提供2023年或2024年度完整的经审计的财务报告（成立时间至投标文件提交截止时间不足一年的可提供成立后任意时段的资产负债表），或提交自2025年2月1日以来银行（基本户开户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3、税收缴纳证明：提供响应文件提交截止之日前近六个月内至少一个月的纳税证明或完税证明（增值税，印花税，城市维护建设费，企业所得税等一种或多种税种），依法免税的单位应提供相关证明材料；</w:t>
      </w:r>
    </w:p>
    <w:p>
      <w:pPr>
        <w:pStyle w:val="null3"/>
      </w:pPr>
      <w:r>
        <w:rPr>
          <w:rFonts w:ascii="仿宋_GB2312" w:hAnsi="仿宋_GB2312" w:cs="仿宋_GB2312" w:eastAsia="仿宋_GB2312"/>
        </w:rPr>
        <w:t>4、社会保障资金缴纳证明：提供响应文件提交截止之日前近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5、履行合同的能力：提供具有履行本合同所必需的设备和专业技术能力的声明；</w:t>
      </w:r>
    </w:p>
    <w:p>
      <w:pPr>
        <w:pStyle w:val="null3"/>
      </w:pPr>
      <w:r>
        <w:rPr>
          <w:rFonts w:ascii="仿宋_GB2312" w:hAnsi="仿宋_GB2312" w:cs="仿宋_GB2312" w:eastAsia="仿宋_GB2312"/>
        </w:rPr>
        <w:t>6、前三年内无重大违法记录的声明：出具参加政府采购活动前3年内在经营活动中没有重大违法记录的书面声明；</w:t>
      </w:r>
    </w:p>
    <w:p>
      <w:pPr>
        <w:pStyle w:val="null3"/>
      </w:pPr>
      <w:r>
        <w:rPr>
          <w:rFonts w:ascii="仿宋_GB2312" w:hAnsi="仿宋_GB2312" w:cs="仿宋_GB2312" w:eastAsia="仿宋_GB2312"/>
        </w:rPr>
        <w:t>7、法定代表人授权书：须提供法定代表人授权书（法定代表人或负责人直接投标，须提交法定代表人证明书）；</w:t>
      </w:r>
    </w:p>
    <w:p>
      <w:pPr>
        <w:pStyle w:val="null3"/>
      </w:pPr>
      <w:r>
        <w:rPr>
          <w:rFonts w:ascii="仿宋_GB2312" w:hAnsi="仿宋_GB2312" w:cs="仿宋_GB2312" w:eastAsia="仿宋_GB2312"/>
        </w:rPr>
        <w:t>8、信用信息：供应商应在信用中国（www.creditchina.gov.cn）未被列入重大税收违法失信主体、在中国执行信息公开网（http://zxgk.court.gov.cn/）中未被列入失信被执行人及在中国政府采购网（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9、资质证书：供应商须具备城乡规划编制乙级及以上资质（含乙级）；</w:t>
      </w:r>
    </w:p>
    <w:p>
      <w:pPr>
        <w:pStyle w:val="null3"/>
      </w:pPr>
      <w:r>
        <w:rPr>
          <w:rFonts w:ascii="仿宋_GB2312" w:hAnsi="仿宋_GB2312" w:cs="仿宋_GB2312" w:eastAsia="仿宋_GB2312"/>
        </w:rPr>
        <w:t>10、非联合体投标：本项目不接受联合体投标。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三原高新技术产业开发区管理委员会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陕西省咸阳市三原县冶金大道81号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19916208580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正和丽景项目管理有限公司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陕西省西安市雁塔区唐延路35号旺座现代城B座1104室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何智颖、李冲、高兴、亢辉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029-88212028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采购包1：1,011,800.00元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考国家发展计划委员会计价格〔2002〕1980号、发改办价格〔2003〕857号规定，依据发改价格〔2015〕299号文件规定以成交价格为基准计取该项目的招标代理服务费。经双方协商，由成交供应商支付招标代理服务费，发放成交通知书时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三原高新技术产业开发区管理委员会</w:t>
      </w:r>
      <w:r>
        <w:rPr>
          <w:rFonts w:ascii="仿宋_GB2312" w:hAnsi="仿宋_GB2312" w:cs="仿宋_GB2312" w:eastAsia="仿宋_GB2312"/>
        </w:rPr>
        <w:t>和</w:t>
      </w:r>
      <w:r>
        <w:rPr>
          <w:rFonts w:ascii="仿宋_GB2312" w:hAnsi="仿宋_GB2312" w:cs="仿宋_GB2312" w:eastAsia="仿宋_GB2312"/>
        </w:rPr>
        <w:t>正和丽景项目管理有限公司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三原高新技术产业开发区管理委员会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正和丽景项目管理有限公司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三原高新技术产业开发区管理委员会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正和丽景项目管理有限公司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满足国家、省、市相关规定及行业现行技术标准、规范要求。 本项目的验收以项目采购文件、响应文件、合同书、需求设计和相关政策法规等作为验收依据，验收前须提供详细的方案，经采购人确认后方可执行。验 收合格后，双方签署验收报告。如对服务以及质量有争议，采购人组织相关部门对服务和质量进行检验或者验收，未达到服务 要求的，由成交单位承担全部责任。若验收不通过，采购人提出整改意见，成交单位须按照意见提出具体解决方案，处理时间 应由双方协商决定。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正和丽景项目管理有限公司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正和丽景项目管理有限公司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正和丽景项目管理有限公司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联系人：何智颖、李冲、高兴、亢辉</w:t>
      </w:r>
    </w:p>
    <w:p>
      <w:pPr>
        <w:pStyle w:val="null3"/>
      </w:pPr>
      <w:r>
        <w:rPr>
          <w:rFonts w:ascii="仿宋_GB2312" w:hAnsi="仿宋_GB2312" w:cs="仿宋_GB2312" w:eastAsia="仿宋_GB2312"/>
        </w:rPr>
        <w:t>联系电话：029-88212028</w:t>
      </w:r>
    </w:p>
    <w:p>
      <w:pPr>
        <w:pStyle w:val="null3"/>
      </w:pPr>
      <w:r>
        <w:rPr>
          <w:rFonts w:ascii="仿宋_GB2312" w:hAnsi="仿宋_GB2312" w:cs="仿宋_GB2312" w:eastAsia="仿宋_GB2312"/>
        </w:rPr>
        <w:t>地址：陕西省西安市雁塔区唐延路35号旺座现代城B座1104室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原县东南片区更新改造专项规划》聚焦开发区未来12年发展，期限为2023-2035年，规划范围总面积1045公顷，涵盖东南片区、城乡统筹区等多个产业片区。核心内容包括“一心三轴多园区”布局，以及交通、市政、智慧园区、环保等多方面规划，实现产城融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1,011,800.00</w:t>
      </w:r>
    </w:p>
    <w:p>
      <w:pPr>
        <w:pStyle w:val="null3"/>
      </w:pPr>
      <w:r>
        <w:rPr>
          <w:rFonts w:ascii="仿宋_GB2312" w:hAnsi="仿宋_GB2312" w:cs="仿宋_GB2312" w:eastAsia="仿宋_GB2312"/>
        </w:rPr>
        <w:t>采购包最高限价（元）: 1,011,800.00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三原县东南片区更新改造专项规划编制服务项目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1,011,800.00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标的名称：三原县东南片区更新改造专项规划编制服务项目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完成《三原县东南片区更新改造专项规划》成果编制，通过各级技术审查和行政审查</w:t>
            </w:r>
          </w:p>
          <w:p>
            <w:pPr>
              <w:pStyle w:val="null3"/>
            </w:pPr>
            <w:r>
              <w:rPr>
                <w:rFonts w:ascii="仿宋_GB2312" w:hAnsi="仿宋_GB2312" w:cs="仿宋_GB2312" w:eastAsia="仿宋_GB2312"/>
              </w:rPr>
              <w:t>一、规划编制依据</w:t>
            </w:r>
          </w:p>
          <w:p>
            <w:pPr>
              <w:pStyle w:val="null3"/>
            </w:pPr>
            <w:r>
              <w:rPr>
                <w:rFonts w:ascii="仿宋_GB2312" w:hAnsi="仿宋_GB2312" w:cs="仿宋_GB2312" w:eastAsia="仿宋_GB2312"/>
              </w:rPr>
              <w:t>（1）《中华人民共和国城乡规划法》（2019 年修订版）</w:t>
            </w:r>
          </w:p>
          <w:p>
            <w:pPr>
              <w:pStyle w:val="null3"/>
            </w:pPr>
            <w:r>
              <w:rPr>
                <w:rFonts w:ascii="仿宋_GB2312" w:hAnsi="仿宋_GB2312" w:cs="仿宋_GB2312" w:eastAsia="仿宋_GB2312"/>
              </w:rPr>
              <w:t>（2）《城市规划编制办法》（2006年）</w:t>
            </w:r>
          </w:p>
          <w:p>
            <w:pPr>
              <w:pStyle w:val="null3"/>
            </w:pPr>
            <w:r>
              <w:rPr>
                <w:rFonts w:ascii="仿宋_GB2312" w:hAnsi="仿宋_GB2312" w:cs="仿宋_GB2312" w:eastAsia="仿宋_GB2312"/>
              </w:rPr>
              <w:t>（3）《中共中央国务院关于建立国土空间规划体系并监督实施 的若干意见》（中发〔2019〕18 号）</w:t>
            </w:r>
          </w:p>
          <w:p>
            <w:pPr>
              <w:pStyle w:val="null3"/>
            </w:pPr>
            <w:r>
              <w:rPr>
                <w:rFonts w:ascii="仿宋_GB2312" w:hAnsi="仿宋_GB2312" w:cs="仿宋_GB2312" w:eastAsia="仿宋_GB2312"/>
              </w:rPr>
              <w:t>（4）《支持城市更新的规划与土地政策指引》（2023 版）</w:t>
            </w:r>
          </w:p>
          <w:p>
            <w:pPr>
              <w:pStyle w:val="null3"/>
            </w:pPr>
            <w:r>
              <w:rPr>
                <w:rFonts w:ascii="仿宋_GB2312" w:hAnsi="仿宋_GB2312" w:cs="仿宋_GB2312" w:eastAsia="仿宋_GB2312"/>
              </w:rPr>
              <w:t>（5）《自然资源部关于进一步加强国土空间规划编制和实施管理的通知》（自然资发〔2022〕186 号）》</w:t>
            </w:r>
          </w:p>
          <w:p>
            <w:pPr>
              <w:pStyle w:val="null3"/>
            </w:pPr>
            <w:r>
              <w:rPr>
                <w:rFonts w:ascii="仿宋_GB2312" w:hAnsi="仿宋_GB2312" w:cs="仿宋_GB2312" w:eastAsia="仿宋_GB2312"/>
              </w:rPr>
              <w:t>（6）《国务院办公厅关于科学绿化的指导意见》（国办发〔2021〕 19 号）</w:t>
            </w:r>
          </w:p>
          <w:p>
            <w:pPr>
              <w:pStyle w:val="null3"/>
            </w:pPr>
            <w:r>
              <w:rPr>
                <w:rFonts w:ascii="仿宋_GB2312" w:hAnsi="仿宋_GB2312" w:cs="仿宋_GB2312" w:eastAsia="仿宋_GB2312"/>
              </w:rPr>
              <w:t>（7）《自然资源部办公厅关于加强村庄规划促进乡村振兴的通 知》</w:t>
            </w:r>
          </w:p>
          <w:p>
            <w:pPr>
              <w:pStyle w:val="null3"/>
            </w:pPr>
            <w:r>
              <w:rPr>
                <w:rFonts w:ascii="仿宋_GB2312" w:hAnsi="仿宋_GB2312" w:cs="仿宋_GB2312" w:eastAsia="仿宋_GB2312"/>
              </w:rPr>
              <w:t>（8）《关于完善工业用地供应政策支持实体经济发展的通知》 （自然资发〔2022〕201 号）</w:t>
            </w:r>
          </w:p>
          <w:p>
            <w:pPr>
              <w:pStyle w:val="null3"/>
            </w:pPr>
            <w:r>
              <w:rPr>
                <w:rFonts w:ascii="仿宋_GB2312" w:hAnsi="仿宋_GB2312" w:cs="仿宋_GB2312" w:eastAsia="仿宋_GB2312"/>
              </w:rPr>
              <w:t>（9）《工业项目建设用地控制指标》（2023 年 05 月 11 日）</w:t>
            </w:r>
          </w:p>
          <w:p>
            <w:pPr>
              <w:pStyle w:val="null3"/>
            </w:pPr>
            <w:r>
              <w:rPr>
                <w:rFonts w:ascii="仿宋_GB2312" w:hAnsi="仿宋_GB2312" w:cs="仿宋_GB2312" w:eastAsia="仿宋_GB2312"/>
              </w:rPr>
              <w:t>（10）《关于加强节约集约用地促进高质量发展的意见》（陕政 办发〔2021〕21 号）</w:t>
            </w:r>
          </w:p>
          <w:p>
            <w:pPr>
              <w:pStyle w:val="null3"/>
            </w:pPr>
            <w:r>
              <w:rPr>
                <w:rFonts w:ascii="仿宋_GB2312" w:hAnsi="仿宋_GB2312" w:cs="仿宋_GB2312" w:eastAsia="仿宋_GB2312"/>
              </w:rPr>
              <w:t>（11）《关于推进中心城区城市更新工作的实施意见（试行）》</w:t>
            </w:r>
          </w:p>
          <w:p>
            <w:pPr>
              <w:pStyle w:val="null3"/>
            </w:pPr>
            <w:r>
              <w:rPr>
                <w:rFonts w:ascii="仿宋_GB2312" w:hAnsi="仿宋_GB2312" w:cs="仿宋_GB2312" w:eastAsia="仿宋_GB2312"/>
              </w:rPr>
              <w:t>（12）陕西省人民政府办公厅关于推进海绵城市建设的实施意 见（陕政办发〔2016〕20号）</w:t>
            </w:r>
          </w:p>
          <w:p>
            <w:pPr>
              <w:pStyle w:val="null3"/>
            </w:pPr>
            <w:r>
              <w:rPr>
                <w:rFonts w:ascii="仿宋_GB2312" w:hAnsi="仿宋_GB2312" w:cs="仿宋_GB2312" w:eastAsia="仿宋_GB2312"/>
              </w:rPr>
              <w:t>（13）《咸阳市城市总体规划（2015-2030）》</w:t>
            </w:r>
          </w:p>
          <w:p>
            <w:pPr>
              <w:pStyle w:val="null3"/>
            </w:pPr>
            <w:r>
              <w:rPr>
                <w:rFonts w:ascii="仿宋_GB2312" w:hAnsi="仿宋_GB2312" w:cs="仿宋_GB2312" w:eastAsia="仿宋_GB2312"/>
              </w:rPr>
              <w:t>（14）《三原高新区总体发展规划（2018 年）》</w:t>
            </w:r>
          </w:p>
          <w:p>
            <w:pPr>
              <w:pStyle w:val="null3"/>
            </w:pPr>
            <w:r>
              <w:rPr>
                <w:rFonts w:ascii="仿宋_GB2312" w:hAnsi="仿宋_GB2312" w:cs="仿宋_GB2312" w:eastAsia="仿宋_GB2312"/>
              </w:rPr>
              <w:t>（15）《三原县国土空间总体规划(2021-2035年)》</w:t>
            </w:r>
          </w:p>
          <w:p>
            <w:pPr>
              <w:pStyle w:val="null3"/>
            </w:pPr>
            <w:r>
              <w:rPr>
                <w:rFonts w:ascii="仿宋_GB2312" w:hAnsi="仿宋_GB2312" w:cs="仿宋_GB2312" w:eastAsia="仿宋_GB2312"/>
              </w:rPr>
              <w:t>（16）省、市、县等其他相关规划</w:t>
            </w:r>
          </w:p>
          <w:p>
            <w:pPr>
              <w:pStyle w:val="null3"/>
            </w:pPr>
            <w:r>
              <w:rPr>
                <w:rFonts w:ascii="仿宋_GB2312" w:hAnsi="仿宋_GB2312" w:cs="仿宋_GB2312" w:eastAsia="仿宋_GB2312"/>
              </w:rPr>
              <w:t>二、成果要求：</w:t>
            </w:r>
          </w:p>
          <w:p>
            <w:pPr>
              <w:pStyle w:val="null3"/>
            </w:pPr>
            <w:r>
              <w:rPr>
                <w:rFonts w:ascii="仿宋_GB2312" w:hAnsi="仿宋_GB2312" w:cs="仿宋_GB2312" w:eastAsia="仿宋_GB2312"/>
              </w:rPr>
              <w:t>（1）成果纸质六套，包括：规划文本、规划说明书及 图集；</w:t>
            </w:r>
          </w:p>
          <w:p>
            <w:pPr>
              <w:pStyle w:val="null3"/>
            </w:pPr>
            <w:r>
              <w:rPr>
                <w:rFonts w:ascii="仿宋_GB2312" w:hAnsi="仿宋_GB2312" w:cs="仿宋_GB2312" w:eastAsia="仿宋_GB2312"/>
              </w:rPr>
              <w:t>（2）相关文件的电子版（pdf和CAD格式）。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设计规划单位须根据本次服务要求，配备有足够的相关专业人员。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设计规划单位须根据本次服务要求，配备有足够的相关专业设备。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满足国家、省、市相关规定及行业现行技术标准、规范要求。 本项目的验收以项目采购文件、响应文件、合同书、需求设计和相关政策法规等作为验收依据，验收前须提供详细的方案，经采购人确认后方可执行。验收合格后，双方签署验收报告。如对服务以及质量有争议，采购人组织相关部门对服务和质量进行检验或者验收，未达到服务要求的，由成交单位承担全部责任。若验收不通过，采购人提出整改意见，成交单位须按照意见提出具体解决方案，处理时间应由双方协商决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合同签订后完成第一阶段任务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完成第二阶段任务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剩余部分一年内付清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1、报价含完成任务所需的税费、设计规划费、人工费、交通费、专家费、租车费、资料费等所有费用。 2、合同其他条款：因资金拨款审批程序等原因，具体支付进度需结合采购人资金到账情况而定，供应商需预见且接受该情况。合同其他条款根据采购文件、响应文件及合同约定执行。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承诺书.pdf 响应函 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供应商为具备独立承担民事责任能力的法人、其他组织或自然人，并出具合法有效的营业执照或事业单位法人证书等国家规定的相关证明，自然人参与的提供其身份证明书；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2023年或2024年度完整的经审计的财务报告（成立时间至投标文件提交截止时间不足一年的可提供成立后任意时段的资产负债表），或提交自2025年2月1日以来银行（基本户开户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提供响应文件提交截止之日前近六个月内至少一个月的纳税证明或完税证明（增值税，印花税，城市维护建设费，企业所得税等一种或多种税种），依法免税的单位应提供相关证明材料；</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提供响应文件提交截止之日前近六个月内至少一个月的社会保障资金缴存单据或社保机构开具的社会保险参保缴费情况证明，依法不需要缴纳社会保障资金的单位应提供相关证明材料；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履行合同的能力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前三年内无重大违法记录的声明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须提供法定代表人授权书（法定代表人或负责人直接投标，须提交法定代表人证明书）；</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应在信用中国（www.creditchina.gov.cn）未被列入重大税收违法失信主体、在中国执行信息公开网（http://zxgk.court.gov.cn/）中未被列入失信被执行人及在中国政府采购网（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供应商须具备城乡规划编制乙级及以上资质（含乙级）；</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承诺书.pdf 服务内容及服务邀请应答表 服务方案.pdf 中小企业声明函 残疾人福利性单位声明函 商务应答表 报价表 响应函 资格证明文件.pdf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服务内容及服务邀请应答表 服务方案.pdf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现状分析</w:t>
            </w:r>
          </w:p>
        </w:tc>
        <w:tc>
          <w:tcPr>
            <w:tcW w:type="dxa" w:w="2492"/>
          </w:tcPr>
          <w:p>
            <w:pPr>
              <w:pStyle w:val="null3"/>
            </w:pPr>
            <w:r>
              <w:rPr>
                <w:rFonts w:ascii="仿宋_GB2312" w:hAnsi="仿宋_GB2312" w:cs="仿宋_GB2312" w:eastAsia="仿宋_GB2312"/>
              </w:rPr>
              <w:t>供应商提供对项目背景以及现状分析的总体理解与认识。对项目现状的认识准确，计5.1-8分；对项目现状的认识基本准确，计3.1-5分；对项目现状的认识宽泛，不利于项目履约，计0-3分；未提供不计分。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提供对项目的定位、未来目标愿景的理解及编制思路。对项目定位、项目目标理解准确、到位，计4.1-7分；对项目定位、项目目标理解基本准确、基本到位，计2.1-4分；对项目定位、项目目标理解不准确、不到位，计0-2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规划方案</w:t>
            </w:r>
          </w:p>
        </w:tc>
        <w:tc>
          <w:tcPr>
            <w:tcW w:type="dxa" w:w="2492"/>
          </w:tcPr>
          <w:p>
            <w:pPr>
              <w:pStyle w:val="null3"/>
            </w:pPr>
            <w:r>
              <w:rPr>
                <w:rFonts w:ascii="仿宋_GB2312" w:hAnsi="仿宋_GB2312" w:cs="仿宋_GB2312" w:eastAsia="仿宋_GB2312"/>
              </w:rPr>
              <w:t>供应商对现状亟待解决的问题、产业发展、国土空间格局优化、片区建设规划等方面提出切实可行的方案，按合理性、可操作性、全面性等，根据响应程度计分。 方案内容全面、合理、规范、切实可行、可操作性强，完全满足采购需求，计9.1-12分；方案内容比较合理、规范、比较可行，满足采购需求，计6.1-9分；方案内容基本合理、规范、具有一定的可操作性，基本满足采购需求，计3.1-6分；方案内容简略、思路不清晰、可操作性较差，不利于采购项目实施，计0-3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工作进度与计划</w:t>
            </w:r>
          </w:p>
        </w:tc>
        <w:tc>
          <w:tcPr>
            <w:tcW w:type="dxa" w:w="2492"/>
          </w:tcPr>
          <w:p>
            <w:pPr>
              <w:pStyle w:val="null3"/>
            </w:pPr>
            <w:r>
              <w:rPr>
                <w:rFonts w:ascii="仿宋_GB2312" w:hAnsi="仿宋_GB2312" w:cs="仿宋_GB2312" w:eastAsia="仿宋_GB2312"/>
              </w:rPr>
              <w:t>供应商根据采购需求对本项目有具体的工作进度安排，包括但不限于每个阶段的进度报表、进度保证措施、进度计划等进行评审。进度安排详细、科学合理、具体可行，计6.1-10分；进度安排粗略、有可行性，计3.1-6分；有进度安排、可行性较差，计0-3分； 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对规划成果质量提出针对性强，详细科学，具有可操作性的保障措施。 质量措施完善合理切实可行，计6.1-10分；质量措施基本合理可行，计3.1-6分；质量措施欠合理，计0-3分；未提供不得分。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提供近3年内（2022年1月至今）承担过类似相关业绩的，每一项得2分，最多得10分（提供合同或中标通知书复印件加盖公章作为证明材料）。注：以中标通知书或合同签订日期为准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专业技术人员</w:t>
            </w:r>
          </w:p>
        </w:tc>
        <w:tc>
          <w:tcPr>
            <w:tcW w:type="dxa" w:w="2492"/>
          </w:tcPr>
          <w:p>
            <w:pPr>
              <w:pStyle w:val="null3"/>
            </w:pPr>
            <w:r>
              <w:rPr>
                <w:rFonts w:ascii="仿宋_GB2312" w:hAnsi="仿宋_GB2312" w:cs="仿宋_GB2312" w:eastAsia="仿宋_GB2312"/>
              </w:rPr>
              <w:t>（1）拟派技术负责人具有相关专业高级及以上工程师职称的计2分，不满足不得分；（2）拟投入本项目的其他人员(除技术负责人以外)中具有相关专业中级及以上工程师职称的，每提供1个计1分，最多得4分。注：以上人员不重复计分，磋商文件中附以上所有人员职称证复印件，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本项目拟投入人员（含技术负责人）的工作经验及组织架构是否满足项目需求。架构合理，人员配置齐全、岗位分配合理、团队人员经验丰富，完全满足项目需求计3.1-7分；人员配置欠缺、不利于项目实施的计0-3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计3.1-5分；承诺及措施科学合理，基本满足项目需求计0-3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为本项目制定完整可行的安全保密措施，具备完善的内部保密制度、保密措施，保密措施可行，对每个阶段工作的内容及服务保密。制度完善，措施合理可行，把控严格，计3.1-5分；制度完整，措施可行，计1.1-3分；保密制度和措施简单，计0-1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以满足磋商文件要求且磋商价格最低的报价为评标基准价， 其价格分为满分，其他供应商的价格分按照下列公式计算： 报价得分= (评标基准价/磋商报价)×20。 注：对符合政府采购政策供应商的价格扣除见评审办法。</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详见附件：承诺书.pdf</w:t>
      </w:r>
    </w:p>
    <w:p>
      <w:pPr>
        <w:pStyle w:val="null3"/>
        <w:ind w:firstLine="960"/>
      </w:pPr>
      <w:r>
        <w:rPr>
          <w:rFonts w:ascii="仿宋_GB2312" w:hAnsi="仿宋_GB2312" w:cs="仿宋_GB2312" w:eastAsia="仿宋_GB2312"/>
        </w:rPr>
        <w:t>详见附件：服务方案.pdf</w:t>
      </w:r>
    </w:p>
    <w:p>
      <w:pPr>
        <w:pStyle w:val="null3"/>
        <w:ind w:firstLine="960"/>
      </w:pPr>
      <w:r>
        <w:rPr>
          <w:rFonts w:ascii="仿宋_GB2312" w:hAnsi="仿宋_GB2312" w:cs="仿宋_GB2312" w:eastAsia="仿宋_GB2312"/>
        </w:rPr>
        <w:t>详见附件：资格证明文件.pdf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详见附件：规划编制合同.docx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