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版本号：CTSD2025-CG-03620250822001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宿舍楼校园校舍改造提升及附属工程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CTSD2025-CG-036</w:t>
      </w:r>
      <w:r>
        <w:br/>
      </w:r>
      <w:r>
        <w:br/>
      </w:r>
      <w:r>
        <w:br/>
      </w:r>
    </w:p>
    <w:p>
      <w:pPr>
        <w:pStyle w:val="null3"/>
        <w:jc w:val="center"/>
        <w:outlineLvl w:val="2"/>
      </w:pPr>
      <w:r>
        <w:rPr>
          <w:rFonts w:ascii="仿宋_GB2312" w:hAnsi="仿宋_GB2312" w:cs="仿宋_GB2312" w:eastAsia="仿宋_GB2312"/>
          <w:sz w:val="28"/>
          <w:b/>
        </w:rPr>
        <w:t>三原县独李镇中学</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三原县独李镇中学</w:t>
      </w:r>
      <w:r>
        <w:rPr>
          <w:rFonts w:ascii="仿宋_GB2312" w:hAnsi="仿宋_GB2312" w:cs="仿宋_GB2312" w:eastAsia="仿宋_GB2312"/>
        </w:rPr>
        <w:t>委托，拟对</w:t>
      </w:r>
      <w:r>
        <w:rPr>
          <w:rFonts w:ascii="仿宋_GB2312" w:hAnsi="仿宋_GB2312" w:cs="仿宋_GB2312" w:eastAsia="仿宋_GB2312"/>
        </w:rPr>
        <w:t>宿舍楼校园校舍改造提升及附属工程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CTSD2025-CG-036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宿舍楼校园校舍改造提升及附属工程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宿舍楼校园校舍改造提升及附属工程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采购包1（宿舍楼校园校舍改造提升及附属工程）：属于专门面向中小企业采购。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信用记录：投标人不得为“信用中国”网站（www.creditchina.gov.cn）中列入严重失信主体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3、企业资质：供应商须具备建设行政主管部门颁发的建筑工程施工总承包三级及以上资质，且具有有效的安全生产许可证。</w:t>
      </w:r>
    </w:p>
    <w:p>
      <w:pPr>
        <w:pStyle w:val="null3"/>
      </w:pPr>
      <w:r>
        <w:rPr>
          <w:rFonts w:ascii="仿宋_GB2312" w:hAnsi="仿宋_GB2312" w:cs="仿宋_GB2312" w:eastAsia="仿宋_GB2312"/>
        </w:rPr>
        <w:t>4、项目负责人（项目经理）：拟派项目经理具有建筑工程专业二级以上（含二级）注册建造师资格及有效的安全生产考核合格证书，且无其他在建项目（提供无在建工程的承诺函）。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三原县独李镇中学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陕西省咸阳市三原县独李镇街道东段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三原县独李镇中学经办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13409108006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陕西省西安市未央区陕西省西安市经济技术开发区凤城七路联益中心11楼1103-01室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刘力玮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采购包1：2,170,407.79元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三原县独李镇中学</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三原县独李镇中学</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三原县独李镇中学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联系人：刘力玮</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地址：西安市未央区凤城七路联益中心501室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2,170,407.79</w:t>
      </w:r>
    </w:p>
    <w:p>
      <w:pPr>
        <w:pStyle w:val="null3"/>
      </w:pPr>
      <w:r>
        <w:rPr>
          <w:rFonts w:ascii="仿宋_GB2312" w:hAnsi="仿宋_GB2312" w:cs="仿宋_GB2312" w:eastAsia="仿宋_GB2312"/>
        </w:rPr>
        <w:t>采购包最高限价（元）: 2,170,407.79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三原县独李镇中学宿舍楼校园校舍改造提升及附属工程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2,170,407.79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标的名称：三原县独李镇中学宿舍楼校园校舍改造提升及附属工程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（一）工程内容：宿舍楼校园校舍改造提升及附属工程。</w:t>
            </w:r>
            <w:r>
              <w:br/>
            </w:r>
            <w:r>
              <w:rPr>
                <w:rFonts w:ascii="仿宋_GB2312" w:hAnsi="仿宋_GB2312" w:cs="仿宋_GB2312" w:eastAsia="仿宋_GB2312"/>
              </w:rPr>
              <w:t xml:space="preserve"> （二）计划工期：自合同签订之日起60日内完成。</w:t>
            </w:r>
            <w:r>
              <w:br/>
            </w:r>
            <w:r>
              <w:rPr>
                <w:rFonts w:ascii="仿宋_GB2312" w:hAnsi="仿宋_GB2312" w:cs="仿宋_GB2312" w:eastAsia="仿宋_GB2312"/>
              </w:rPr>
              <w:t xml:space="preserve"> （三）质保期：二年。</w:t>
            </w:r>
            <w:r>
              <w:br/>
            </w:r>
            <w:r>
              <w:rPr>
                <w:rFonts w:ascii="仿宋_GB2312" w:hAnsi="仿宋_GB2312" w:cs="仿宋_GB2312" w:eastAsia="仿宋_GB2312"/>
              </w:rPr>
              <w:t xml:space="preserve"> （四）编制依据：本工程预留金10万元。</w:t>
            </w:r>
            <w:r>
              <w:br/>
            </w:r>
            <w:r>
              <w:rPr>
                <w:rFonts w:ascii="仿宋_GB2312" w:hAnsi="仿宋_GB2312" w:cs="仿宋_GB2312" w:eastAsia="仿宋_GB2312"/>
              </w:rPr>
              <w:t xml:space="preserve"> （五）报价以给定的工程量清单及现场情况自主编报。</w:t>
            </w:r>
            <w:r>
              <w:br/>
            </w:r>
            <w:r>
              <w:rPr>
                <w:rFonts w:ascii="仿宋_GB2312" w:hAnsi="仿宋_GB2312" w:cs="仿宋_GB2312" w:eastAsia="仿宋_GB2312"/>
              </w:rPr>
              <w:t xml:space="preserve"> （六）电子招标书：详见附件。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1、施工要求：在施工期间，施工单位必须注意人员安全，加强安全措施，并对施工人员进行安全教育。施工人员必须持证上岗，在施工中做到封闭性施工。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响应文件提交截止时间前一年内连续三个月已缴纳的纳税证明或完税证明,依法免税的供应商应提供相关证明文件；社保缴纳证明：提供响应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具有良好的商业信誉和健全的财务会计制度：提供经会计师事务所审计的2024年度财务审计报告，或本年度基本开户银行出具的资信证明（附开户许可证或基本存款账户信息）。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参与的供应商（联合体）工程的施工单位全部为符合政策要求的中小企业。监狱企业及残疾人福利性单位，视同中、小型企业。</w:t>
            </w:r>
          </w:p>
        </w:tc>
        <w:tc>
          <w:tcPr>
            <w:tcW w:type="dxa" w:w="1661"/>
          </w:tcPr>
          <w:p>
            <w:pPr>
              <w:pStyle w:val="null3"/>
            </w:pPr>
            <w:r>
              <w:rPr>
                <w:rFonts w:ascii="仿宋_GB2312" w:hAnsi="仿宋_GB2312" w:cs="仿宋_GB2312" w:eastAsia="仿宋_GB2312"/>
              </w:rPr>
              <w:t>中小企业声明函 残疾人福利性单位声明函 供应商资格证明材料.docx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严重失信主体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项目负责人（项目经理）</w:t>
            </w:r>
          </w:p>
        </w:tc>
        <w:tc>
          <w:tcPr>
            <w:tcW w:type="dxa" w:w="3322"/>
          </w:tcPr>
          <w:p>
            <w:pPr>
              <w:pStyle w:val="null3"/>
            </w:pPr>
            <w:r>
              <w:rPr>
                <w:rFonts w:ascii="仿宋_GB2312" w:hAnsi="仿宋_GB2312" w:cs="仿宋_GB2312" w:eastAsia="仿宋_GB2312"/>
              </w:rPr>
              <w:t>拟派项目经理具有建筑工程专业二级以上（含二级）注册建造师资格及有效的安全生产考核合格证书，且无其他在建项目（提供无在建工程的承诺函）。</w:t>
            </w:r>
          </w:p>
        </w:tc>
        <w:tc>
          <w:tcPr>
            <w:tcW w:type="dxa" w:w="1661"/>
          </w:tcPr>
          <w:p>
            <w:pPr>
              <w:pStyle w:val="null3"/>
            </w:pPr>
            <w:r>
              <w:rPr>
                <w:rFonts w:ascii="仿宋_GB2312" w:hAnsi="仿宋_GB2312" w:cs="仿宋_GB2312" w:eastAsia="仿宋_GB2312"/>
              </w:rPr>
              <w:t>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响应文件封面 业绩一览表.docx 已标价工程量清单 磋商响应方案.docx 残疾人福利性单位声明函 中小企业声明函 项目团队.docx 商务要求及合同条款响应偏离表.docx 供应商资格证明材料.docx 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满足磋商文件规定的有限期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满足本磋商文件中标注的实质性条款（工期、工程地点、支付方式、支付约定等）要求的</w:t>
            </w:r>
          </w:p>
        </w:tc>
        <w:tc>
          <w:tcPr>
            <w:tcW w:type="dxa" w:w="1661"/>
          </w:tcPr>
          <w:p>
            <w:pPr>
              <w:pStyle w:val="null3"/>
            </w:pPr>
            <w:r>
              <w:rPr>
                <w:rFonts w:ascii="仿宋_GB2312" w:hAnsi="仿宋_GB2312" w:cs="仿宋_GB2312" w:eastAsia="仿宋_GB2312"/>
              </w:rPr>
              <w:t>响应文件封面 商务要求及合同条款响应偏离表.docx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已标价工程量清单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提供的施工方案进行打分，包含但不限于:施工技术措施、组织结构、保障措施、应急预案等，上述内容有针对性的措施且内容完整的得12分，每缺1项内容扣3分，每有1处不合理或有瑕疵扣1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提供的施工重点难点分析进行打分，包含但不限于施工组织设计内容、施工组织设计重点部位、重点结构施工方案、对重点施工工艺、对重点施工环节等，上述内容有针对性的措施且内容完整的得5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1、拟派项目经理具备高级及以上职称证书，得2分，中级职称证书得1分，其余情况不得分。 2、拟派技术负责人具备高级及以上职称证书，得2分，中级职称证书得1分，其余情况不得分。 3、对拟派本项目其余人员(不含项目经理和技术负责人)进行评分，拟投入人员须是具备施工员、质检员、安全员、资料员、材料人员证书，具有岗位证且在有效期，提供人员证书齐全的得5分，否则不得分。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提供的确保工程质量的技术组织措施进行打分，措施包含但不限于质量管理措施、规章制度、岗位职责、质量管理目标等。措施科学合理且内容完整的得6分，每缺1项内容扣1.5分，每有1处不合理或有瑕扣0.5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安全施工保障措施</w:t>
            </w:r>
          </w:p>
        </w:tc>
        <w:tc>
          <w:tcPr>
            <w:tcW w:type="dxa" w:w="2492"/>
          </w:tcPr>
          <w:p>
            <w:pPr>
              <w:pStyle w:val="null3"/>
            </w:pPr>
            <w:r>
              <w:rPr>
                <w:rFonts w:ascii="仿宋_GB2312" w:hAnsi="仿宋_GB2312" w:cs="仿宋_GB2312" w:eastAsia="仿宋_GB2312"/>
              </w:rPr>
              <w:t>根据供应商提供的确保安全生产的技术组织措施进行打分，措施包含但不限于安全管理规定、安全管理体系、安全教育、安全培训计划等。 措施科学合理且内容完整的得4分，每缺1项内容扣1分每有1处不台理或有瑕扣0.5分。未提供的不得分。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文明施工保障措施</w:t>
            </w:r>
          </w:p>
        </w:tc>
        <w:tc>
          <w:tcPr>
            <w:tcW w:type="dxa" w:w="2492"/>
          </w:tcPr>
          <w:p>
            <w:pPr>
              <w:pStyle w:val="null3"/>
            </w:pPr>
            <w:r>
              <w:rPr>
                <w:rFonts w:ascii="仿宋_GB2312" w:hAnsi="仿宋_GB2312" w:cs="仿宋_GB2312" w:eastAsia="仿宋_GB2312"/>
              </w:rPr>
              <w:t>根据供应商提供的确保文明施工的技术组织措施进行打分，措施包含但不限于文明施工计划、关键环节控制措施等。 措施科学合理且内容完整的得4分，每缺1项内容扣2分，每有1处不合理或有瑕扣 1 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根据供应商提供的确保工期的技术组织措施进行打分，措施包含但不限于总进度计划、分阶段进度计划、规章制度、奖惩措施、工序安排等。措施科学合理且内容完整的得5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拟投入的主要物资计划</w:t>
            </w:r>
          </w:p>
        </w:tc>
        <w:tc>
          <w:tcPr>
            <w:tcW w:type="dxa" w:w="2492"/>
          </w:tcPr>
          <w:p>
            <w:pPr>
              <w:pStyle w:val="null3"/>
            </w:pPr>
            <w:r>
              <w:rPr>
                <w:rFonts w:ascii="仿宋_GB2312" w:hAnsi="仿宋_GB2312" w:cs="仿宋_GB2312" w:eastAsia="仿宋_GB2312"/>
              </w:rPr>
              <w:t>根据供应商提供的拟投入的主要物资计划进行打分，计划包含但不限于资源配备计划、物资清单等。计划科学合理且内容完整的得4分，每缺1项内容扣2分，每有1处不合理或有瑕扣1分。未提供的不得分。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拟投入的主要施工机械计划</w:t>
            </w:r>
          </w:p>
        </w:tc>
        <w:tc>
          <w:tcPr>
            <w:tcW w:type="dxa" w:w="2492"/>
          </w:tcPr>
          <w:p>
            <w:pPr>
              <w:pStyle w:val="null3"/>
            </w:pPr>
            <w:r>
              <w:rPr>
                <w:rFonts w:ascii="仿宋_GB2312" w:hAnsi="仿宋_GB2312" w:cs="仿宋_GB2312" w:eastAsia="仿宋_GB2312"/>
              </w:rPr>
              <w:t>根据供应商提供的拟投入的主要施工机械计划进行打分，计划包含但不限于施工机械配备计划、机械清单等。 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根据供应商提供的劳动力安排计划进行打分，计划包含但不限于人员配备计划、人员清单等。计划科学合理且内容完整的得4分，每缺1项内容扣2分，每有1处不合理或有瑕扣1分。未提供的不得分。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打分，包括但不限于质保服务方案及承诺、与相关部门的配合协调承诺、优化建议等进行赋分，方案科学合理、满足项目要求，合理性、针对性强、服务承诺明确，计3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供应商资格证明材料.docx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供应商提供2022年1月1日（以合同签订日期为准）至今承担过的类似项目的业绩合同，每提供一份计2分，满分10分。 备注：提供合同（包括合同服务内容、合同金额、合同签订日期），否则不计分。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满足磋商文件要求的有效磋商报价的最低值为评审基准价，其价格分为满分。其他响应供应商的价格分统一按照下列公式计算：磋商报价得分=（评审基准价／磋商报价）×30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详见附件：商务要求及合同条款响应偏离表.docx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