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版本号：SXKKSYFGS2025-03720250905003</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三原县医院电梯维保及安检门系统安装调试政府采购项目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SXKKSYFGS2025-037</w:t>
      </w:r>
      <w:r>
        <w:br/>
      </w:r>
      <w:r>
        <w:br/>
      </w:r>
      <w:r>
        <w:br/>
      </w:r>
    </w:p>
    <w:p>
      <w:pPr>
        <w:pStyle w:val="null3"/>
        <w:jc w:val="center"/>
        <w:outlineLvl w:val="2"/>
      </w:pPr>
      <w:r>
        <w:rPr>
          <w:rFonts w:ascii="仿宋_GB2312" w:hAnsi="仿宋_GB2312" w:cs="仿宋_GB2312" w:eastAsia="仿宋_GB2312"/>
          <w:sz w:val="28"/>
          <w:b/>
        </w:rPr>
        <w:t>三原县卫生健康局</w:t>
      </w:r>
    </w:p>
    <w:p>
      <w:pPr>
        <w:pStyle w:val="null3"/>
        <w:jc w:val="center"/>
        <w:outlineLvl w:val="2"/>
      </w:pPr>
      <w:r>
        <w:rPr>
          <w:rFonts w:ascii="仿宋_GB2312" w:hAnsi="仿宋_GB2312" w:cs="仿宋_GB2312" w:eastAsia="仿宋_GB2312"/>
          <w:sz w:val="28"/>
          <w:b/>
        </w:rPr>
        <w:t>陕西夸克工程造价咨询有限公司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2025年09月03日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陕西夸克工程造价咨询有限公司</w:t>
      </w:r>
      <w:r>
        <w:rPr>
          <w:rFonts w:ascii="仿宋_GB2312" w:hAnsi="仿宋_GB2312" w:cs="仿宋_GB2312" w:eastAsia="仿宋_GB2312"/>
        </w:rPr>
        <w:t>（以下简称“代理机构”）受</w:t>
      </w:r>
      <w:r>
        <w:rPr>
          <w:rFonts w:ascii="仿宋_GB2312" w:hAnsi="仿宋_GB2312" w:cs="仿宋_GB2312" w:eastAsia="仿宋_GB2312"/>
        </w:rPr>
        <w:t>三原县卫生健康局</w:t>
      </w:r>
      <w:r>
        <w:rPr>
          <w:rFonts w:ascii="仿宋_GB2312" w:hAnsi="仿宋_GB2312" w:cs="仿宋_GB2312" w:eastAsia="仿宋_GB2312"/>
        </w:rPr>
        <w:t>委托，拟对</w:t>
      </w:r>
      <w:r>
        <w:rPr>
          <w:rFonts w:ascii="仿宋_GB2312" w:hAnsi="仿宋_GB2312" w:cs="仿宋_GB2312" w:eastAsia="仿宋_GB2312"/>
        </w:rPr>
        <w:t>三原县医院电梯维保及安检门系统安装调试政府采购项目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SXKKSYFGS2025-037</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三原县医院电梯维保及安检门系统安装调试政府采购项目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共分为里两个标段，一标段：电梯维保服务；服务内容：定期对电梯轿厢内部进行清洁，包括轿厢内壁、轿厢地面、操纵盘面板、轿厢顶部及照明罩的擦拭除尘，确保无明显污渍、灰尘堆积；清洁电梯层门及轿门地坎，清除地坎内的杂物、灰尘，防止异物影响门体正常开关；擦拭电梯层门外侧按钮面板及周边区域，保持外观整洁； 对电梯轿厢内的通风口进行除尘，保证通风顺畅（若有通风装置）；检查轿厢内照明及通风设备外观清洁情况，如需清洁外部部件，进行简单擦拭（不含设备功能检修及故障处理）。 二标段：安检门系统安装调试；系统构成：包括多通道金属探测安检门、X 光行李安检机、安检工作台及相关配套设备等，满足医院门诊大厅入口重点区域的人员及行李安检需求和相关部门安检部门规范要求。</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采购包1（三原县医院电梯维保政府采购项目）：属于专门面向中小企业采购。</w:t>
      </w:r>
    </w:p>
    <w:p>
      <w:pPr>
        <w:pStyle w:val="null3"/>
      </w:pPr>
      <w:r>
        <w:rPr>
          <w:rFonts w:ascii="仿宋_GB2312" w:hAnsi="仿宋_GB2312" w:cs="仿宋_GB2312" w:eastAsia="仿宋_GB2312"/>
        </w:rPr>
        <w:t>采购包2（三原县医院安检门系统安装调试政府采购项目）：属于专门面向中小企业采购。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1、营业执照等主体资格证明文件：具有独立承担民事责任能力的法人、其他组织，并出具合法有效的营业执照或事业单位法人证书等国家规定的相关证明。</w:t>
      </w:r>
    </w:p>
    <w:p>
      <w:pPr>
        <w:pStyle w:val="null3"/>
      </w:pPr>
      <w:r>
        <w:rPr>
          <w:rFonts w:ascii="仿宋_GB2312" w:hAnsi="仿宋_GB2312" w:cs="仿宋_GB2312" w:eastAsia="仿宋_GB2312"/>
        </w:rPr>
        <w:t>2、财务状况报告：提供2023年度或2024年度经审计的财务会计报告（包括审计报告、资产负债表、利润表、现金流量表、所有者权益变动表及其附注，成立时间至提交响应文件截止时间不足一年的可提供成立后任意时段的资产负债表），或其开标前六个月内银行出具的资信证明，或信用担保机构出具的投标担保函。（以上三种形式的资料提供任何一种即可）。</w:t>
      </w:r>
    </w:p>
    <w:p>
      <w:pPr>
        <w:pStyle w:val="null3"/>
      </w:pPr>
      <w:r>
        <w:rPr>
          <w:rFonts w:ascii="仿宋_GB2312" w:hAnsi="仿宋_GB2312" w:cs="仿宋_GB2312" w:eastAsia="仿宋_GB2312"/>
        </w:rPr>
        <w:t>3、税收缴纳证明：提供2024年8月至今已缴纳至少一个月的依法缴纳税款的相关凭据（时间以税款所属日期为准），凭据应有税务机关或代收机关的公章或业务专用章。依法免税或无须缴纳税款的供应商，应提供相关证明文件。</w:t>
      </w:r>
    </w:p>
    <w:p>
      <w:pPr>
        <w:pStyle w:val="null3"/>
      </w:pPr>
      <w:r>
        <w:rPr>
          <w:rFonts w:ascii="仿宋_GB2312" w:hAnsi="仿宋_GB2312" w:cs="仿宋_GB2312" w:eastAsia="仿宋_GB2312"/>
        </w:rPr>
        <w:t>4、社会保障资金缴纳证明：提供2024年8月至今已缴存的至少一个月的社会保障资金缴存单据或社保机构开具的社会保险参保缴费情况证明，依法不需要缴纳社会保障资金的单位应提供相关证明材料。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参加本次采购活动前三年内在经营活动中没有重大违纪，以及未被列入失信被执行人、重大税收违法失信主体、政府采购活动严重违法失信行为记录名单的书面声明。本项目拒绝被列入失信被执行人、重大税收违法失信主体、政府采购活动严重违法失信行为的供应商参与。</w:t>
      </w:r>
    </w:p>
    <w:p>
      <w:pPr>
        <w:pStyle w:val="null3"/>
      </w:pPr>
      <w:r>
        <w:rPr>
          <w:rFonts w:ascii="仿宋_GB2312" w:hAnsi="仿宋_GB2312" w:cs="仿宋_GB2312" w:eastAsia="仿宋_GB2312"/>
        </w:rPr>
        <w:t>6、控股管理关系：提供直接控股和管理关系清单。若与其他供应商存在单位负责人为同一人或者存在直接控股、管理关系的，则投标无效。</w:t>
      </w:r>
    </w:p>
    <w:p>
      <w:pPr>
        <w:pStyle w:val="null3"/>
      </w:pPr>
      <w:r>
        <w:rPr>
          <w:rFonts w:ascii="仿宋_GB2312" w:hAnsi="仿宋_GB2312" w:cs="仿宋_GB2312" w:eastAsia="仿宋_GB2312"/>
        </w:rPr>
        <w:t>7、信用记录：供应商被“信用中国”网站列入失信被执行人、重大税收违法案件当事人名单的,供应商被“中国政府采购网”网站列入政府采购严重违法失信名单的，不得参与本项目投标。</w:t>
      </w:r>
    </w:p>
    <w:p>
      <w:pPr>
        <w:pStyle w:val="null3"/>
      </w:pPr>
      <w:r>
        <w:rPr>
          <w:rFonts w:ascii="仿宋_GB2312" w:hAnsi="仿宋_GB2312" w:cs="仿宋_GB2312" w:eastAsia="仿宋_GB2312"/>
        </w:rPr>
        <w:t>8、承诺：提供具有履行合同所必需的设备和专业技术能力的承诺函。</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1、营业执照等主体资格证明文件：具有独立承担民事责任能力的法人、其他组织，并出具合法有效的营业执照或事业单位法人证书等国家规定的相关证明。</w:t>
      </w:r>
    </w:p>
    <w:p>
      <w:pPr>
        <w:pStyle w:val="null3"/>
      </w:pPr>
      <w:r>
        <w:rPr>
          <w:rFonts w:ascii="仿宋_GB2312" w:hAnsi="仿宋_GB2312" w:cs="仿宋_GB2312" w:eastAsia="仿宋_GB2312"/>
        </w:rPr>
        <w:t>2、财务状况报告：提供2023年度或2024年度经审计的财务会计报告（包括审计报告、资产负债表、利润表、现金流量表、所有者权益变动表及其附注，成立时间至提交响应文件截止时间不足一年的可提供成立后任意时段的资产负债表），或其开标前六个月内银行出具的资信证明，或信用担保机构出具的投标担保函。（以上三种形式的资料提供任何一种即可）。</w:t>
      </w:r>
    </w:p>
    <w:p>
      <w:pPr>
        <w:pStyle w:val="null3"/>
      </w:pPr>
      <w:r>
        <w:rPr>
          <w:rFonts w:ascii="仿宋_GB2312" w:hAnsi="仿宋_GB2312" w:cs="仿宋_GB2312" w:eastAsia="仿宋_GB2312"/>
        </w:rPr>
        <w:t>3、税收纳税证明：提供2024年8月至今已缴纳至少一个月的依法缴纳税款的相关凭据（时间以税款所属日期为准），凭据应有税务机关或代收机关的公章或业务专用章。依法免税或无须缴纳税款的供应商，应提供相关证明文件。</w:t>
      </w:r>
    </w:p>
    <w:p>
      <w:pPr>
        <w:pStyle w:val="null3"/>
      </w:pPr>
      <w:r>
        <w:rPr>
          <w:rFonts w:ascii="仿宋_GB2312" w:hAnsi="仿宋_GB2312" w:cs="仿宋_GB2312" w:eastAsia="仿宋_GB2312"/>
        </w:rPr>
        <w:t>4、社会保障资金缴纳证明：提供2024年8月至今已缴存的至少一个月的社会保障资金缴存单据或社保机构开具的社会保险参保缴费情况证明，依法不需要缴纳社会保障资金的单位应提供相关证明材料。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参加本次采购活动前三年内在经营活动中没有重大违纪，以及未被列入失信被执行人、重大税收违法失信主体、政府采购活动严重违法失信行为记录名单的书面声明。本项目拒绝被列入失信被执行人、重大税收违法失信主体、政府采购活动严重违法失信行为的供应商参与。</w:t>
      </w:r>
    </w:p>
    <w:p>
      <w:pPr>
        <w:pStyle w:val="null3"/>
      </w:pPr>
      <w:r>
        <w:rPr>
          <w:rFonts w:ascii="仿宋_GB2312" w:hAnsi="仿宋_GB2312" w:cs="仿宋_GB2312" w:eastAsia="仿宋_GB2312"/>
        </w:rPr>
        <w:t>6、控股管理关系：提供直接控股和管理关系清单。若与其他供应商存在单位负责人为同一人或者存在直接控股、管理关系的，则投标无效。</w:t>
      </w:r>
    </w:p>
    <w:p>
      <w:pPr>
        <w:pStyle w:val="null3"/>
      </w:pPr>
      <w:r>
        <w:rPr>
          <w:rFonts w:ascii="仿宋_GB2312" w:hAnsi="仿宋_GB2312" w:cs="仿宋_GB2312" w:eastAsia="仿宋_GB2312"/>
        </w:rPr>
        <w:t>7、信用记录：供应商被“信用中国”网站列入失信被执行人、重大税收违法案件当事人名单的,供应商被“中国政府采购网”网站列入政府采购严重违法失信名单的，不得参与本项目投标。</w:t>
      </w:r>
    </w:p>
    <w:p>
      <w:pPr>
        <w:pStyle w:val="null3"/>
      </w:pPr>
      <w:r>
        <w:rPr>
          <w:rFonts w:ascii="仿宋_GB2312" w:hAnsi="仿宋_GB2312" w:cs="仿宋_GB2312" w:eastAsia="仿宋_GB2312"/>
        </w:rPr>
        <w:t>8、承诺：提供具有履行合同所必需的设备和专业技术能力的承诺函。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三原县卫生健康局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三原县政府院内</w:t>
      </w:r>
    </w:p>
    <w:p>
      <w:pPr>
        <w:pStyle w:val="null3"/>
      </w:pPr>
      <w:r>
        <w:rPr>
          <w:rFonts w:ascii="仿宋_GB2312" w:hAnsi="仿宋_GB2312" w:cs="仿宋_GB2312" w:eastAsia="仿宋_GB2312"/>
        </w:rPr>
        <w:t xml:space="preserve"> 邮编： </w:t>
      </w:r>
      <w:r>
        <w:rPr>
          <w:rFonts w:ascii="仿宋_GB2312" w:hAnsi="仿宋_GB2312" w:cs="仿宋_GB2312" w:eastAsia="仿宋_GB2312"/>
        </w:rPr>
        <w:t>713800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三原县卫生健康局经办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02932102136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陕西夸克工程造价咨询有限公司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陕西省西安市未央区陕西省西安市未央区凤城南路萧家巷未央分局备勤公寓楼4单元401室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邬女士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13325304067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三原县政府采购管理股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席先生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029-32268653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采购包1：180,000.00元</w:t>
            </w:r>
          </w:p>
          <w:p>
            <w:pPr>
              <w:pStyle w:val="null3"/>
            </w:pPr>
            <w:r>
              <w:rPr>
                <w:rFonts w:ascii="仿宋_GB2312" w:hAnsi="仿宋_GB2312" w:cs="仿宋_GB2312" w:eastAsia="仿宋_GB2312"/>
              </w:rPr>
              <w:t>采购包2：180,000.00元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代理服务费收费标准：参照国家计委计价格[2002]1980号及发改办价格[2003]857号通知规定 ，由成交供应商支付采购代理服务费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三原县卫生健康局</w:t>
      </w:r>
      <w:r>
        <w:rPr>
          <w:rFonts w:ascii="仿宋_GB2312" w:hAnsi="仿宋_GB2312" w:cs="仿宋_GB2312" w:eastAsia="仿宋_GB2312"/>
        </w:rPr>
        <w:t>和</w:t>
      </w:r>
      <w:r>
        <w:rPr>
          <w:rFonts w:ascii="仿宋_GB2312" w:hAnsi="仿宋_GB2312" w:cs="仿宋_GB2312" w:eastAsia="仿宋_GB2312"/>
        </w:rPr>
        <w:t>陕西夸克工程造价咨询有限公司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三原县卫生健康局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陕西夸克工程造价咨询有限公司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三原县卫生健康局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陕西夸克工程造价咨询有限公司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符合国家相关标准及采购文件要求。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符合国家相关标准及采购文件要求。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陕西夸克工程造价咨询有限公司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陕西夸克工程造价咨询有限公司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陕西夸克工程造价咨询有限公司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联系人：邬女士</w:t>
      </w:r>
    </w:p>
    <w:p>
      <w:pPr>
        <w:pStyle w:val="null3"/>
      </w:pPr>
      <w:r>
        <w:rPr>
          <w:rFonts w:ascii="仿宋_GB2312" w:hAnsi="仿宋_GB2312" w:cs="仿宋_GB2312" w:eastAsia="仿宋_GB2312"/>
        </w:rPr>
        <w:t>联系电话：13325304067</w:t>
      </w:r>
    </w:p>
    <w:p>
      <w:pPr>
        <w:pStyle w:val="null3"/>
      </w:pPr>
      <w:r>
        <w:rPr>
          <w:rFonts w:ascii="仿宋_GB2312" w:hAnsi="仿宋_GB2312" w:cs="仿宋_GB2312" w:eastAsia="仿宋_GB2312"/>
        </w:rPr>
        <w:t>地址：陕西省咸阳市三原县城关街道办事处冶金大道和平村华阳物流斜对面一号会议室</w:t>
      </w:r>
    </w:p>
    <w:p>
      <w:pPr>
        <w:pStyle w:val="null3"/>
      </w:pPr>
      <w:r>
        <w:rPr>
          <w:rFonts w:ascii="仿宋_GB2312" w:hAnsi="仿宋_GB2312" w:cs="仿宋_GB2312" w:eastAsia="仿宋_GB2312"/>
        </w:rPr>
        <w:t>邮编：713800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共分为里两个标段，一标段：电梯维保服务；服务内容：定期对电梯轿厢内部进行清洁，包括轿厢内壁、轿厢地面、操纵盘面板、轿厢顶部及照明罩的擦拭除尘，确保无明显污渍、灰尘堆积；清洁电梯层门及轿门地坎，清除地坎内的杂物、灰尘，防止异物影响门体正常开关；擦拭电梯层门外侧按钮面板及周边区域，保持外观整洁； 对电梯轿厢内的通风口进行除尘，保证通风顺畅（若有通风装置）；检查轿厢内照明及通风设备外观清洁情况，如需清洁外部部件，进行简单擦拭（不含设备功能检修及故障处理）。 二标段：安检门系统安装调试；系统构成：包括多通道金属探测安检门、X 光行李安检机、安检工作台及相关配套设备等，满足医院门诊大厅入口重点区域的人员及行李安检需求和相关部门安检部门规范要求。</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180,000.00</w:t>
      </w:r>
    </w:p>
    <w:p>
      <w:pPr>
        <w:pStyle w:val="null3"/>
      </w:pPr>
      <w:r>
        <w:rPr>
          <w:rFonts w:ascii="仿宋_GB2312" w:hAnsi="仿宋_GB2312" w:cs="仿宋_GB2312" w:eastAsia="仿宋_GB2312"/>
        </w:rPr>
        <w:t>采购包最高限价（元）: 180,000.00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三原县医院电梯维保政府采购项目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180,000.00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180,000.00</w:t>
      </w:r>
    </w:p>
    <w:p>
      <w:pPr>
        <w:pStyle w:val="null3"/>
      </w:pPr>
      <w:r>
        <w:rPr>
          <w:rFonts w:ascii="仿宋_GB2312" w:hAnsi="仿宋_GB2312" w:cs="仿宋_GB2312" w:eastAsia="仿宋_GB2312"/>
        </w:rPr>
        <w:t>采购包最高限价（元）: 180,000.00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三原县医院安检门系统安装调试政府采购项目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180,000.00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标的名称：三原县医院电梯维保政府采购项目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轿厢内部清洁后，内壁、地面、操纵盘面板、顶部及照明罩应无可见灰尘、污渍、水渍，触感光滑，无明显擦拭痕迹；轿厢内无异味，整体观感整洁清爽。</w:t>
            </w:r>
          </w:p>
          <w:p>
            <w:pPr>
              <w:pStyle w:val="null3"/>
              <w:jc w:val="both"/>
            </w:pPr>
            <w:r>
              <w:rPr>
                <w:rFonts w:ascii="仿宋_GB2312" w:hAnsi="仿宋_GB2312" w:cs="仿宋_GB2312" w:eastAsia="仿宋_GB2312"/>
                <w:sz w:val="21"/>
              </w:rPr>
              <w:t>电梯层门及轿门地坎清洁后，无杂物、灰尘堆积，地坎凹槽内无颗粒物留存，门体开关过程中不会因异物产生卡顿或异常声响。</w:t>
            </w:r>
          </w:p>
          <w:p>
            <w:pPr>
              <w:pStyle w:val="null3"/>
              <w:jc w:val="both"/>
            </w:pPr>
            <w:r>
              <w:rPr>
                <w:rFonts w:ascii="仿宋_GB2312" w:hAnsi="仿宋_GB2312" w:cs="仿宋_GB2312" w:eastAsia="仿宋_GB2312"/>
                <w:sz w:val="21"/>
              </w:rPr>
              <w:t>电梯层门外侧按钮面板及周边区域清洁后，表面无指纹、油污、灰尘，按钮标识清晰可辨，无模糊或污渍遮挡。</w:t>
            </w:r>
          </w:p>
          <w:p>
            <w:pPr>
              <w:pStyle w:val="null3"/>
              <w:jc w:val="both"/>
            </w:pPr>
            <w:r>
              <w:rPr>
                <w:rFonts w:ascii="仿宋_GB2312" w:hAnsi="仿宋_GB2312" w:cs="仿宋_GB2312" w:eastAsia="仿宋_GB2312"/>
                <w:sz w:val="21"/>
              </w:rPr>
              <w:t>电梯轿厢内通风口清洁后，表面无灰尘覆盖，通风格栅缝隙内无明显杂物，不影响空气正常流通。</w:t>
            </w:r>
          </w:p>
          <w:p>
            <w:pPr>
              <w:pStyle w:val="null3"/>
              <w:jc w:val="both"/>
            </w:pPr>
            <w:r>
              <w:rPr>
                <w:rFonts w:ascii="仿宋_GB2312" w:hAnsi="仿宋_GB2312" w:cs="仿宋_GB2312" w:eastAsia="仿宋_GB2312"/>
                <w:sz w:val="21"/>
              </w:rPr>
              <w:t>轿厢内照明及通风设备外观清洁后，外壳无灰尘堆积，照明罩透光性良好，无污渍遮挡光线；设备外部部件无明显手印、油污等痕迹，保持外观整洁。</w:t>
            </w:r>
          </w:p>
          <w:p>
            <w:pPr>
              <w:pStyle w:val="null3"/>
              <w:jc w:val="both"/>
            </w:pPr>
            <w:r>
              <w:rPr>
                <w:rFonts w:ascii="仿宋_GB2312" w:hAnsi="仿宋_GB2312" w:cs="仿宋_GB2312" w:eastAsia="仿宋_GB2312"/>
                <w:sz w:val="21"/>
              </w:rPr>
              <w:t>需特别说明的是，上述指标仅针对基础清洁效果，不涉及电梯机械、电气等系统的功能检查、调试及故障处理，仅以外观及基础使用环境的整洁为核心标准。</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标的名称：三原县医院安检门系统安装调试政府采购项目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105" w:after="105"/>
              <w:jc w:val="left"/>
              <w:outlineLvl w:val="1"/>
            </w:pPr>
            <w:r>
              <w:rPr>
                <w:rFonts w:ascii="仿宋_GB2312" w:hAnsi="仿宋_GB2312" w:cs="仿宋_GB2312" w:eastAsia="仿宋_GB2312"/>
                <w:sz w:val="21"/>
                <w:b/>
              </w:rPr>
              <w:t>一、系统整体要求</w:t>
            </w:r>
          </w:p>
          <w:p>
            <w:pPr>
              <w:pStyle w:val="null3"/>
              <w:ind w:firstLine="420"/>
              <w:jc w:val="left"/>
            </w:pPr>
            <w:r>
              <w:rPr>
                <w:rFonts w:ascii="仿宋_GB2312" w:hAnsi="仿宋_GB2312" w:cs="仿宋_GB2312" w:eastAsia="仿宋_GB2312"/>
                <w:sz w:val="21"/>
              </w:rPr>
              <w:t>本安检门系统需贴合医院场景特性，满足人员与物品快速、精准安检需求，同时兼顾患者就医体验，避免因安检流程影响医院正常诊疗秩序。系统整体需具备稳定性强、检测精度高、操作便捷、维护简便等特点，且所有设备需符合国家相关安全标准与行业规范，确保在医院复杂环境下长期可靠运行，为医院人员安全、财产安全及诊疗环境安全提供有效保障。</w:t>
            </w:r>
          </w:p>
          <w:p>
            <w:pPr>
              <w:pStyle w:val="null3"/>
              <w:spacing w:before="105" w:after="105"/>
              <w:jc w:val="left"/>
              <w:outlineLvl w:val="1"/>
            </w:pPr>
            <w:r>
              <w:rPr>
                <w:rFonts w:ascii="仿宋_GB2312" w:hAnsi="仿宋_GB2312" w:cs="仿宋_GB2312" w:eastAsia="仿宋_GB2312"/>
                <w:sz w:val="21"/>
                <w:b/>
              </w:rPr>
              <w:t>二、系统构成及各设备技术参数与性能指标</w:t>
            </w:r>
          </w:p>
          <w:p>
            <w:pPr>
              <w:pStyle w:val="null3"/>
              <w:spacing w:before="105" w:after="105"/>
              <w:jc w:val="left"/>
              <w:outlineLvl w:val="2"/>
            </w:pPr>
            <w:r>
              <w:rPr>
                <w:rFonts w:ascii="仿宋_GB2312" w:hAnsi="仿宋_GB2312" w:cs="仿宋_GB2312" w:eastAsia="仿宋_GB2312"/>
                <w:sz w:val="21"/>
                <w:b/>
              </w:rPr>
              <w:t>（一）多通道金属探测安检门</w:t>
            </w:r>
          </w:p>
          <w:p>
            <w:pPr>
              <w:pStyle w:val="null3"/>
              <w:ind w:firstLine="420"/>
              <w:jc w:val="left"/>
            </w:pPr>
            <w:r>
              <w:rPr>
                <w:rFonts w:ascii="仿宋_GB2312" w:hAnsi="仿宋_GB2312" w:cs="仿宋_GB2312" w:eastAsia="仿宋_GB2312"/>
                <w:sz w:val="21"/>
              </w:rPr>
              <w:t>1.探测功能：具备对人体携带金属物品的精准探测能力，可有效识别常见金属违禁品（如刀具、枪支、易燃易爆物品相关金属部件等），且能避免对医院患者携带的常规医疗辅助设备（如心脏起搏器、人工耳蜗、金属义肢等）产生误报，需通过特殊探测算法优化，平衡探测灵敏度与误报率。</w:t>
            </w:r>
          </w:p>
          <w:p>
            <w:pPr>
              <w:pStyle w:val="null3"/>
              <w:ind w:firstLine="420"/>
              <w:jc w:val="left"/>
            </w:pPr>
            <w:r>
              <w:rPr>
                <w:rFonts w:ascii="仿宋_GB2312" w:hAnsi="仿宋_GB2312" w:cs="仿宋_GB2312" w:eastAsia="仿宋_GB2312"/>
                <w:sz w:val="21"/>
              </w:rPr>
              <w:t>2.运行性能：设备运行过程中需保持稳定，无明显卡顿、死机等故障，探测响应速度需满足医院人员通行效率需求，避免造成人员拥堵。门体外观设计需简洁大方，符合医院整体环境风格，材质需选用耐磨、耐腐蚀、易清洁的环保材料，便于日常维护与消毒处理。</w:t>
            </w:r>
          </w:p>
          <w:p>
            <w:pPr>
              <w:pStyle w:val="null3"/>
              <w:ind w:firstLine="420"/>
              <w:jc w:val="left"/>
            </w:pPr>
            <w:r>
              <w:rPr>
                <w:rFonts w:ascii="仿宋_GB2312" w:hAnsi="仿宋_GB2312" w:cs="仿宋_GB2312" w:eastAsia="仿宋_GB2312"/>
                <w:sz w:val="21"/>
              </w:rPr>
              <w:t>3.操作与显示：配备清晰易懂的操作界面，支持工作人员快速设置探测参数、查看设备运行状态及报警记录。具备直观的报警提示功能，可通过声光结合的方式明确报警区域，帮助工作人员快速定位可疑物品位置，同时支持报警信息存储与查询，便于后续追溯与管理。</w:t>
            </w:r>
          </w:p>
          <w:p>
            <w:pPr>
              <w:pStyle w:val="null3"/>
              <w:spacing w:before="105" w:after="105"/>
              <w:jc w:val="left"/>
              <w:outlineLvl w:val="2"/>
            </w:pPr>
            <w:r>
              <w:rPr>
                <w:rFonts w:ascii="仿宋_GB2312" w:hAnsi="仿宋_GB2312" w:cs="仿宋_GB2312" w:eastAsia="仿宋_GB2312"/>
                <w:sz w:val="21"/>
                <w:b/>
              </w:rPr>
              <w:t>（二）</w:t>
            </w:r>
            <w:r>
              <w:rPr>
                <w:rFonts w:ascii="仿宋_GB2312" w:hAnsi="仿宋_GB2312" w:cs="仿宋_GB2312" w:eastAsia="仿宋_GB2312"/>
                <w:sz w:val="21"/>
                <w:b/>
              </w:rPr>
              <w:t>X 光行李安检机</w:t>
            </w:r>
          </w:p>
          <w:p>
            <w:pPr>
              <w:pStyle w:val="null3"/>
              <w:ind w:firstLine="420"/>
              <w:jc w:val="left"/>
            </w:pPr>
            <w:r>
              <w:rPr>
                <w:rFonts w:ascii="仿宋_GB2312" w:hAnsi="仿宋_GB2312" w:cs="仿宋_GB2312" w:eastAsia="仿宋_GB2312"/>
                <w:sz w:val="21"/>
              </w:rPr>
              <w:t>1.成像与探测：具备清晰的 X 光成像功能，可对通过的行李、包裹等物品进行穿透式检测，能有效识别各类违禁物品（如管制刀具、易燃易爆物品、腐蚀性物品、放射性物品等），成像分辨率需满足对小件物品细节的清晰呈现，支持工作人员通过图像准确判断物品性质。</w:t>
            </w:r>
          </w:p>
          <w:p>
            <w:pPr>
              <w:pStyle w:val="null3"/>
              <w:ind w:firstLine="420"/>
              <w:jc w:val="left"/>
            </w:pPr>
            <w:r>
              <w:rPr>
                <w:rFonts w:ascii="仿宋_GB2312" w:hAnsi="仿宋_GB2312" w:cs="仿宋_GB2312" w:eastAsia="仿宋_GB2312"/>
                <w:sz w:val="21"/>
              </w:rPr>
              <w:t>2.安全与防护：设备需具备完善的辐射防护措施，确保周边环境辐射剂量符合国家安全标准，保障工作人员、患者及过往人员的身体健康。进出料口需设置防辐射屏蔽装置，避免辐射泄漏。同时，设备需具备紧急停止功能，在出现异常情况时可快速切断设备运行，保障使用安全。</w:t>
            </w:r>
          </w:p>
          <w:p>
            <w:pPr>
              <w:pStyle w:val="null3"/>
              <w:ind w:firstLine="420"/>
              <w:jc w:val="left"/>
            </w:pPr>
            <w:r>
              <w:rPr>
                <w:rFonts w:ascii="仿宋_GB2312" w:hAnsi="仿宋_GB2312" w:cs="仿宋_GB2312" w:eastAsia="仿宋_GB2312"/>
                <w:sz w:val="21"/>
              </w:rPr>
              <w:t>3.运行与操作：设备输送速度需与安检门通行效率相匹配，避免造成行李堆积。操作界面需简洁易用，支持图像放大、旋转、对比等功能，方便工作人员细致查看物品图像。具备物品检测记录存储功能，可保存一定周期内的检测图像与相关数据，便于后续调取与核查，同时支持与医院安防系统数据对接，实现信息共享。</w:t>
            </w:r>
          </w:p>
          <w:p>
            <w:pPr>
              <w:pStyle w:val="null3"/>
              <w:spacing w:before="105" w:after="105"/>
              <w:jc w:val="left"/>
              <w:outlineLvl w:val="2"/>
            </w:pPr>
            <w:r>
              <w:rPr>
                <w:rFonts w:ascii="仿宋_GB2312" w:hAnsi="仿宋_GB2312" w:cs="仿宋_GB2312" w:eastAsia="仿宋_GB2312"/>
                <w:sz w:val="21"/>
                <w:b/>
              </w:rPr>
              <w:t>（三）安检工作台</w:t>
            </w:r>
          </w:p>
          <w:p>
            <w:pPr>
              <w:pStyle w:val="null3"/>
              <w:ind w:firstLine="420"/>
              <w:jc w:val="left"/>
            </w:pPr>
            <w:r>
              <w:rPr>
                <w:rFonts w:ascii="仿宋_GB2312" w:hAnsi="仿宋_GB2312" w:cs="仿宋_GB2312" w:eastAsia="仿宋_GB2312"/>
                <w:sz w:val="21"/>
              </w:rPr>
              <w:t>1.功能与结构：工作台需具备物品放置、检查操作等功能，台面尺寸需满足医院日常安检物品摆放需求，结构设计需稳定牢固，承重能力需符合常规安检物品重量要求。台面材质需选用防水、耐磨、抗冲击、易清洁消毒的材料，适应医院频繁使用与消毒的场景。</w:t>
            </w:r>
          </w:p>
          <w:p>
            <w:pPr>
              <w:pStyle w:val="null3"/>
              <w:ind w:firstLine="420"/>
              <w:jc w:val="left"/>
            </w:pPr>
            <w:r>
              <w:rPr>
                <w:rFonts w:ascii="仿宋_GB2312" w:hAnsi="仿宋_GB2312" w:cs="仿宋_GB2312" w:eastAsia="仿宋_GB2312"/>
                <w:sz w:val="21"/>
              </w:rPr>
              <w:t>2.辅助配置：工作台需配备必要的辅助设施，如照明装置，确保工作人员在光线不足环境下也能清晰检查物品；可设置物品分类放置区域，便于对不同类型物品进行分区管理；同时，需考虑工作人员操作舒适度，合理设计工作台高度与台面倾斜角度，减少长时间操作带来的疲劳感。</w:t>
            </w:r>
          </w:p>
          <w:p>
            <w:pPr>
              <w:pStyle w:val="null3"/>
              <w:ind w:firstLine="420"/>
              <w:jc w:val="left"/>
            </w:pPr>
            <w:r>
              <w:rPr>
                <w:rFonts w:ascii="仿宋_GB2312" w:hAnsi="仿宋_GB2312" w:cs="仿宋_GB2312" w:eastAsia="仿宋_GB2312"/>
                <w:sz w:val="21"/>
              </w:rPr>
              <w:t>3.兼容性：工作台需与安检门、X 光行李安检机的布局相适配，确保安检流程顺畅，工作人员可在工作台与其他安检设备之间高效协作，提升整体安检效率，避免因设备布局不合理导致的工作流程混乱。</w:t>
            </w:r>
          </w:p>
          <w:p>
            <w:pPr>
              <w:pStyle w:val="null3"/>
              <w:spacing w:before="105" w:after="105"/>
              <w:jc w:val="left"/>
              <w:outlineLvl w:val="2"/>
            </w:pPr>
            <w:r>
              <w:rPr>
                <w:rFonts w:ascii="仿宋_GB2312" w:hAnsi="仿宋_GB2312" w:cs="仿宋_GB2312" w:eastAsia="仿宋_GB2312"/>
                <w:sz w:val="21"/>
                <w:b/>
              </w:rPr>
              <w:t>（四）相关配套设备</w:t>
            </w:r>
          </w:p>
          <w:p>
            <w:pPr>
              <w:pStyle w:val="null3"/>
              <w:ind w:firstLine="420"/>
              <w:jc w:val="left"/>
            </w:pPr>
            <w:r>
              <w:rPr>
                <w:rFonts w:ascii="仿宋_GB2312" w:hAnsi="仿宋_GB2312" w:cs="仿宋_GB2312" w:eastAsia="仿宋_GB2312"/>
                <w:sz w:val="21"/>
              </w:rPr>
              <w:t>1.身份核验设备：需具备准确的身份信息读取与核验功能，支持读取常见的身份证件（如身份证、医保卡等），并能快速与医院患者信息系统或公安身份信息系统进行数据比对，核实人员身份信息，有效防止身份伪造、冒用等情况，为安检工作提供身份信息支撑。</w:t>
            </w:r>
          </w:p>
          <w:p>
            <w:pPr>
              <w:pStyle w:val="null3"/>
              <w:ind w:firstLine="420"/>
              <w:jc w:val="left"/>
            </w:pPr>
            <w:r>
              <w:rPr>
                <w:rFonts w:ascii="仿宋_GB2312" w:hAnsi="仿宋_GB2312" w:cs="仿宋_GB2312" w:eastAsia="仿宋_GB2312"/>
                <w:sz w:val="21"/>
              </w:rPr>
              <w:t>2.安检人员防护装备：包括防刺背心、防护手套、防护眼镜等，需符合相关安全防护标准，具备良好的防护性能，能有效保护安检工作人员在处置可疑物品、应对突发情况时的人身安全，装备材质需舒适透气，便于工作人员长时间穿戴操作。</w:t>
            </w:r>
          </w:p>
          <w:p>
            <w:pPr>
              <w:pStyle w:val="null3"/>
              <w:ind w:firstLine="420"/>
              <w:jc w:val="left"/>
            </w:pPr>
            <w:r>
              <w:rPr>
                <w:rFonts w:ascii="仿宋_GB2312" w:hAnsi="仿宋_GB2312" w:cs="仿宋_GB2312" w:eastAsia="仿宋_GB2312"/>
                <w:sz w:val="21"/>
              </w:rPr>
              <w:t>3.设备供电与布线配套：提供适配所有安检设备的供电系统，确保电压稳定，避免因电压波动影响设备正常运行。布线需符合医院电气安全规范，采用隐蔽式布线方式，避免线路裸露造成安全隐患，同时便于后期维护与检修，不影响医院整体环境美观。</w:t>
            </w:r>
          </w:p>
          <w:p>
            <w:pPr>
              <w:pStyle w:val="null3"/>
              <w:spacing w:before="105" w:after="105"/>
              <w:jc w:val="left"/>
              <w:outlineLvl w:val="1"/>
            </w:pPr>
            <w:r>
              <w:rPr>
                <w:rFonts w:ascii="仿宋_GB2312" w:hAnsi="仿宋_GB2312" w:cs="仿宋_GB2312" w:eastAsia="仿宋_GB2312"/>
                <w:sz w:val="21"/>
                <w:b/>
              </w:rPr>
              <w:t>三、安装调试要求</w:t>
            </w:r>
          </w:p>
          <w:p>
            <w:pPr>
              <w:pStyle w:val="null3"/>
              <w:ind w:firstLine="420"/>
              <w:jc w:val="left"/>
            </w:pPr>
            <w:r>
              <w:rPr>
                <w:rFonts w:ascii="仿宋_GB2312" w:hAnsi="仿宋_GB2312" w:cs="仿宋_GB2312" w:eastAsia="仿宋_GB2312"/>
                <w:sz w:val="21"/>
              </w:rPr>
              <w:t>1.安装规划：安装前需对医院安检区域进行实地勘察，结合医院人员流动路线、建筑结构特点及安检需求，制定科学合理的安装方案，明确各设备的安装位置、布局方式及布线规划，确保安装方案不影响医院正常诊疗秩序与人员通行，同时满足安检功能需求。</w:t>
            </w:r>
          </w:p>
          <w:p>
            <w:pPr>
              <w:pStyle w:val="null3"/>
              <w:ind w:firstLine="420"/>
              <w:jc w:val="left"/>
            </w:pPr>
            <w:r>
              <w:rPr>
                <w:rFonts w:ascii="仿宋_GB2312" w:hAnsi="仿宋_GB2312" w:cs="仿宋_GB2312" w:eastAsia="仿宋_GB2312"/>
                <w:sz w:val="21"/>
              </w:rPr>
              <w:t>2.安装实施：安装过程需严格按照国家相关施工标准与设备安装规范执行，工作人员需具备专业的安装资质与丰富的安装经验，确保设备安装牢固、位置准确，各设备之间连接稳定。安装过程中需做好现场安全防护与环境保护，避免对医院设施造成损坏，减少施工对医院正常运营的影响。</w:t>
            </w:r>
          </w:p>
          <w:p>
            <w:pPr>
              <w:pStyle w:val="null3"/>
              <w:ind w:firstLine="420"/>
              <w:jc w:val="left"/>
            </w:pPr>
            <w:r>
              <w:rPr>
                <w:rFonts w:ascii="仿宋_GB2312" w:hAnsi="仿宋_GB2312" w:cs="仿宋_GB2312" w:eastAsia="仿宋_GB2312"/>
                <w:sz w:val="21"/>
              </w:rPr>
              <w:t>3.调试与验收：安装完成后，需对整个安检系统进行全面调试，包括设备功能调试、性能优化、数据对接测试等，确保各设备单独运行正常，且系统整体协同工作顺畅，满足医院安检需求。调试完成后，需组织采购方进行验收，提供完整的验收资料（包括设备说明书、检测报告、安装调试记录等），确保验收通过后系统可正式投入使用。</w:t>
            </w:r>
          </w:p>
          <w:p>
            <w:pPr>
              <w:pStyle w:val="null3"/>
              <w:spacing w:before="105" w:after="105"/>
              <w:jc w:val="left"/>
              <w:outlineLvl w:val="1"/>
            </w:pPr>
            <w:r>
              <w:rPr>
                <w:rFonts w:ascii="仿宋_GB2312" w:hAnsi="仿宋_GB2312" w:cs="仿宋_GB2312" w:eastAsia="仿宋_GB2312"/>
                <w:sz w:val="21"/>
                <w:b/>
              </w:rPr>
              <w:t>四、售后服务与培训要求</w:t>
            </w:r>
          </w:p>
          <w:p>
            <w:pPr>
              <w:pStyle w:val="null3"/>
              <w:ind w:firstLine="420"/>
              <w:jc w:val="left"/>
            </w:pPr>
            <w:r>
              <w:rPr>
                <w:rFonts w:ascii="仿宋_GB2312" w:hAnsi="仿宋_GB2312" w:cs="仿宋_GB2312" w:eastAsia="仿宋_GB2312"/>
                <w:sz w:val="21"/>
              </w:rPr>
              <w:t>1.售后服务：供应商需提供长期稳定的售后服务，在设备质保期内，对因设备质量问题导致的故障提供免费维修或更换服务，接到故障报修通知后，需在合理时间内响应，安排专业技术人员前往现场处理，确保设备尽快恢复正常运行。质保期结束后，需提供持续的维修保养服务，合理收取相关费用，保障设备长期稳定使用。</w:t>
            </w:r>
          </w:p>
          <w:p>
            <w:pPr>
              <w:pStyle w:val="null3"/>
              <w:ind w:firstLine="420"/>
              <w:jc w:val="left"/>
            </w:pPr>
            <w:r>
              <w:rPr>
                <w:rFonts w:ascii="仿宋_GB2312" w:hAnsi="仿宋_GB2312" w:cs="仿宋_GB2312" w:eastAsia="仿宋_GB2312"/>
                <w:sz w:val="21"/>
              </w:rPr>
              <w:t>2.人员培训：供应商需为医院安检工作人员提供全面的操作培训，包括设备操作方法、日常维护保养知识、常见故障处理技巧、应急情况处置流程等内容。培训形式需结合理论授课与现场实操，确保工作人员能熟练掌握设备操作与管理技能。培训完成后，需对工作人员进行考核，确保其具备独立开展安检工作的能力，同时提供详细的培训资料，便于工作人员后续查阅学习。</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供应商根据单位自身情况及项目实际情况配置</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供应商根据单位自身情况及项目实际情况配置</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供应商根据单位自身情况及项目实际情况配置</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供应商根据单位自身情况及项目实际情况配置</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供应商根据单位自身情况及项目实际情况配置</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供应商根据单位自身情况及项目实际情况配置</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从合同合同签订之日起一年</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从合同合同签订之日起一年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三原县医院</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三原县医院</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达到维保售后服务要求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项目按照计划工期完成后，达到设计要求并符合相关规定及验收标准，经甲方组织验收满足项目要求达到合格质量</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合同到期后的最后一个月内付清</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施工完成并验收调试完成后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95.00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质保期满后一次付清</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本合同在履行过程中发生的与本合同有关的任何争议，有甲、乙双方友好协商解决，协商不成的，由地方仲裁机构裁决</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在履行过程中发生的与之有关的任何争议，双方友好协商解决，协商不成的，由仲裁机构裁决</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供应商应提交的相关资格证明材料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供应商应提交的相关资格证明材料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具有独立承担民事责任能力的法人、其他组织，并出具合法有效的营业执照或事业单位法人证书等国家规定的相关证明。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或2024年度经审计的财务会计报告（包括审计报告、资产负债表、利润表、现金流量表、所有者权益变动表及其附注，成立时间至提交响应文件截止时间不足一年的可提供成立后任意时段的资产负债表），或其开标前六个月内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提供2024年8月至今已缴纳至少一个月的依法缴纳税款的相关凭据（时间以税款所属日期为准），凭据应有税务机关或代收机关的公章或业务专用章。依法免税或无须缴纳税款的供应商，应提供相关证明文件。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提供2024年8月至今已缴存的至少一个月的社会保障资金缴存单据或社保机构开具的社会保险参保缴费情况证明，依法不需要缴纳社会保障资金的单位应提供相关证明材料。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采购活动前三年内在经营活动中没有重大违纪，以及未被列入失信被执行人、重大税收违法失信主体、政府采购活动严重违法失信行为记录名单的书面声明。本项目拒绝被列入失信被执行人、重大税收违法失信主体、政府采购活动严重违法失信行为的供应商参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提供直接控股和管理关系清单。若与其他供应商存在单位负责人为同一人或者存在直接控股、管理关系的，则投标无效。</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供应商被“信用中国”网站列入失信被执行人、重大税收违法案件当事人名单的,供应商被“中国政府采购网”网站列入政府采购严重违法失信名单的，不得参与本项目投标。</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承诺</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具有独立承担民事责任能力的法人、其他组织，并出具合法有效的营业执照或事业单位法人证书等国家规定的相关证明。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或2024年度经审计的财务会计报告（包括审计报告、资产负债表、利润表、现金流量表、所有者权益变动表及其附注，成立时间至提交响应文件截止时间不足一年的可提供成立后任意时段的资产负债表），或其开标前六个月内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税收纳税证明</w:t>
            </w:r>
          </w:p>
        </w:tc>
        <w:tc>
          <w:tcPr>
            <w:tcW w:type="dxa" w:w="3322"/>
          </w:tcPr>
          <w:p>
            <w:pPr>
              <w:pStyle w:val="null3"/>
            </w:pPr>
            <w:r>
              <w:rPr>
                <w:rFonts w:ascii="仿宋_GB2312" w:hAnsi="仿宋_GB2312" w:cs="仿宋_GB2312" w:eastAsia="仿宋_GB2312"/>
              </w:rPr>
              <w:t>提供2024年8月至今已缴纳至少一个月的依法缴纳税款的相关凭据（时间以税款所属日期为准），凭据应有税务机关或代收机关的公章或业务专用章。依法免税或无须缴纳税款的供应商，应提供相关证明文件。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提供2024年8月至今已缴存的至少一个月的社会保障资金缴存单据或社保机构开具的社会保险参保缴费情况证明，依法不需要缴纳社会保障资金的单位应提供相关证明材料。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采购活动前三年内在经营活动中没有重大违纪，以及未被列入失信被执行人、重大税收违法失信主体、政府采购活动严重违法失信行为记录名单的书面声明。本项目拒绝被列入失信被执行人、重大税收违法失信主体、政府采购活动严重违法失信行为的供应商参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提供直接控股和管理关系清单。若与其他供应商存在单位负责人为同一人或者存在直接控股、管理关系的，则投标无效。</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供应商被“信用中国”网站列入失信被执行人、重大税收违法案件当事人名单的,供应商被“中国政府采购网”网站列入政府采购严重违法失信名单的，不得参与本项目投标。</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承诺</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响应主体</w:t>
            </w:r>
          </w:p>
        </w:tc>
        <w:tc>
          <w:tcPr>
            <w:tcW w:type="dxa" w:w="3322"/>
          </w:tcPr>
          <w:p>
            <w:pPr>
              <w:pStyle w:val="null3"/>
            </w:pPr>
            <w:r>
              <w:rPr>
                <w:rFonts w:ascii="仿宋_GB2312" w:hAnsi="仿宋_GB2312" w:cs="仿宋_GB2312" w:eastAsia="仿宋_GB2312"/>
              </w:rPr>
              <w:t>与营业执照一致</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响应文件格式</w:t>
            </w:r>
          </w:p>
        </w:tc>
        <w:tc>
          <w:tcPr>
            <w:tcW w:type="dxa" w:w="3322"/>
          </w:tcPr>
          <w:p>
            <w:pPr>
              <w:pStyle w:val="null3"/>
            </w:pPr>
            <w:r>
              <w:rPr>
                <w:rFonts w:ascii="仿宋_GB2312" w:hAnsi="仿宋_GB2312" w:cs="仿宋_GB2312" w:eastAsia="仿宋_GB2312"/>
              </w:rPr>
              <w:t>除明确允许供应商可以自行编写的外，磋商响应文件未按照磋商文件给定的格式编制</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响应文件数量</w:t>
            </w:r>
          </w:p>
        </w:tc>
        <w:tc>
          <w:tcPr>
            <w:tcW w:type="dxa" w:w="3322"/>
          </w:tcPr>
          <w:p>
            <w:pPr>
              <w:pStyle w:val="null3"/>
            </w:pPr>
            <w:r>
              <w:rPr>
                <w:rFonts w:ascii="仿宋_GB2312" w:hAnsi="仿宋_GB2312" w:cs="仿宋_GB2312" w:eastAsia="仿宋_GB2312"/>
              </w:rPr>
              <w:t>磋商响应文件不符合磋商文件要求的数量</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有效性</w:t>
            </w:r>
          </w:p>
        </w:tc>
        <w:tc>
          <w:tcPr>
            <w:tcW w:type="dxa" w:w="3322"/>
          </w:tcPr>
          <w:p>
            <w:pPr>
              <w:pStyle w:val="null3"/>
            </w:pPr>
            <w:r>
              <w:rPr>
                <w:rFonts w:ascii="仿宋_GB2312" w:hAnsi="仿宋_GB2312" w:cs="仿宋_GB2312" w:eastAsia="仿宋_GB2312"/>
              </w:rPr>
              <w:t>针对同一项目提交两份或多份内容不同的磋商响应文件，未书面声明哪一份是有效的或出现选择性报价的</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限价</w:t>
            </w:r>
          </w:p>
        </w:tc>
        <w:tc>
          <w:tcPr>
            <w:tcW w:type="dxa" w:w="3322"/>
          </w:tcPr>
          <w:p>
            <w:pPr>
              <w:pStyle w:val="null3"/>
            </w:pPr>
            <w:r>
              <w:rPr>
                <w:rFonts w:ascii="仿宋_GB2312" w:hAnsi="仿宋_GB2312" w:cs="仿宋_GB2312" w:eastAsia="仿宋_GB2312"/>
              </w:rPr>
              <w:t>磋商报价超过采购预算/限价</w:t>
            </w:r>
          </w:p>
        </w:tc>
        <w:tc>
          <w:tcPr>
            <w:tcW w:type="dxa" w:w="1661"/>
          </w:tcPr>
          <w:p>
            <w:pPr>
              <w:pStyle w:val="null3"/>
            </w:pPr>
            <w:r>
              <w:rPr>
                <w:rFonts w:ascii="仿宋_GB2312" w:hAnsi="仿宋_GB2312" w:cs="仿宋_GB2312" w:eastAsia="仿宋_GB2312"/>
              </w:rPr>
              <w:t>响应文件封面 标的清单 报价表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有效期</w:t>
            </w:r>
          </w:p>
        </w:tc>
        <w:tc>
          <w:tcPr>
            <w:tcW w:type="dxa" w:w="3322"/>
          </w:tcPr>
          <w:p>
            <w:pPr>
              <w:pStyle w:val="null3"/>
            </w:pPr>
            <w:r>
              <w:rPr>
                <w:rFonts w:ascii="仿宋_GB2312" w:hAnsi="仿宋_GB2312" w:cs="仿宋_GB2312" w:eastAsia="仿宋_GB2312"/>
              </w:rPr>
              <w:t>磋商有效期不符合磋商文件的要求</w:t>
            </w:r>
          </w:p>
        </w:tc>
        <w:tc>
          <w:tcPr>
            <w:tcW w:type="dxa" w:w="1661"/>
          </w:tcPr>
          <w:p>
            <w:pPr>
              <w:pStyle w:val="null3"/>
            </w:pPr>
            <w:r>
              <w:rPr>
                <w:rFonts w:ascii="仿宋_GB2312" w:hAnsi="仿宋_GB2312" w:cs="仿宋_GB2312" w:eastAsia="仿宋_GB2312"/>
              </w:rPr>
              <w:t>响应文件封面 标的清单 报价表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实质性</w:t>
            </w:r>
          </w:p>
        </w:tc>
        <w:tc>
          <w:tcPr>
            <w:tcW w:type="dxa" w:w="3322"/>
          </w:tcPr>
          <w:p>
            <w:pPr>
              <w:pStyle w:val="null3"/>
            </w:pPr>
            <w:r>
              <w:rPr>
                <w:rFonts w:ascii="仿宋_GB2312" w:hAnsi="仿宋_GB2312" w:cs="仿宋_GB2312" w:eastAsia="仿宋_GB2312"/>
              </w:rPr>
              <w:t>对磋商文件技术要求未作出明确响应，对不得偏离的要求是否作了实质性响应</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法律、法规和磋商文件规定的其他无效响应情形</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响应主体</w:t>
            </w:r>
          </w:p>
        </w:tc>
        <w:tc>
          <w:tcPr>
            <w:tcW w:type="dxa" w:w="3322"/>
          </w:tcPr>
          <w:p>
            <w:pPr>
              <w:pStyle w:val="null3"/>
            </w:pPr>
            <w:r>
              <w:rPr>
                <w:rFonts w:ascii="仿宋_GB2312" w:hAnsi="仿宋_GB2312" w:cs="仿宋_GB2312" w:eastAsia="仿宋_GB2312"/>
              </w:rPr>
              <w:t>与营业执照一致</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响应文件格式</w:t>
            </w:r>
          </w:p>
        </w:tc>
        <w:tc>
          <w:tcPr>
            <w:tcW w:type="dxa" w:w="3322"/>
          </w:tcPr>
          <w:p>
            <w:pPr>
              <w:pStyle w:val="null3"/>
            </w:pPr>
            <w:r>
              <w:rPr>
                <w:rFonts w:ascii="仿宋_GB2312" w:hAnsi="仿宋_GB2312" w:cs="仿宋_GB2312" w:eastAsia="仿宋_GB2312"/>
              </w:rPr>
              <w:t>除明确允许供应商可以自行编写的外，磋商响应文件未按照磋商文件给定的格式编制</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响应文件数量</w:t>
            </w:r>
          </w:p>
        </w:tc>
        <w:tc>
          <w:tcPr>
            <w:tcW w:type="dxa" w:w="3322"/>
          </w:tcPr>
          <w:p>
            <w:pPr>
              <w:pStyle w:val="null3"/>
            </w:pPr>
            <w:r>
              <w:rPr>
                <w:rFonts w:ascii="仿宋_GB2312" w:hAnsi="仿宋_GB2312" w:cs="仿宋_GB2312" w:eastAsia="仿宋_GB2312"/>
              </w:rPr>
              <w:t>磋商响应文件不符合磋商文件要求的数量</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有效性</w:t>
            </w:r>
          </w:p>
        </w:tc>
        <w:tc>
          <w:tcPr>
            <w:tcW w:type="dxa" w:w="3322"/>
          </w:tcPr>
          <w:p>
            <w:pPr>
              <w:pStyle w:val="null3"/>
            </w:pPr>
            <w:r>
              <w:rPr>
                <w:rFonts w:ascii="仿宋_GB2312" w:hAnsi="仿宋_GB2312" w:cs="仿宋_GB2312" w:eastAsia="仿宋_GB2312"/>
              </w:rPr>
              <w:t>针对同一项目提交两份或多份内容不同的磋商响应文件，未书面声明哪一份是有效的或出现选择性报价的</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限价</w:t>
            </w:r>
          </w:p>
        </w:tc>
        <w:tc>
          <w:tcPr>
            <w:tcW w:type="dxa" w:w="3322"/>
          </w:tcPr>
          <w:p>
            <w:pPr>
              <w:pStyle w:val="null3"/>
            </w:pPr>
            <w:r>
              <w:rPr>
                <w:rFonts w:ascii="仿宋_GB2312" w:hAnsi="仿宋_GB2312" w:cs="仿宋_GB2312" w:eastAsia="仿宋_GB2312"/>
              </w:rPr>
              <w:t>磋商报价超过采购预算/限价</w:t>
            </w:r>
          </w:p>
        </w:tc>
        <w:tc>
          <w:tcPr>
            <w:tcW w:type="dxa" w:w="1661"/>
          </w:tcPr>
          <w:p>
            <w:pPr>
              <w:pStyle w:val="null3"/>
            </w:pPr>
            <w:r>
              <w:rPr>
                <w:rFonts w:ascii="仿宋_GB2312" w:hAnsi="仿宋_GB2312" w:cs="仿宋_GB2312" w:eastAsia="仿宋_GB2312"/>
              </w:rPr>
              <w:t>响应文件封面 标的清单 报价表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有效期</w:t>
            </w:r>
          </w:p>
        </w:tc>
        <w:tc>
          <w:tcPr>
            <w:tcW w:type="dxa" w:w="3322"/>
          </w:tcPr>
          <w:p>
            <w:pPr>
              <w:pStyle w:val="null3"/>
            </w:pPr>
            <w:r>
              <w:rPr>
                <w:rFonts w:ascii="仿宋_GB2312" w:hAnsi="仿宋_GB2312" w:cs="仿宋_GB2312" w:eastAsia="仿宋_GB2312"/>
              </w:rPr>
              <w:t>磋商有效期不符合磋商文件的要求</w:t>
            </w:r>
          </w:p>
        </w:tc>
        <w:tc>
          <w:tcPr>
            <w:tcW w:type="dxa" w:w="1661"/>
          </w:tcPr>
          <w:p>
            <w:pPr>
              <w:pStyle w:val="null3"/>
            </w:pPr>
            <w:r>
              <w:rPr>
                <w:rFonts w:ascii="仿宋_GB2312" w:hAnsi="仿宋_GB2312" w:cs="仿宋_GB2312" w:eastAsia="仿宋_GB2312"/>
              </w:rPr>
              <w:t>响应文件封面 标的清单 报价表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实质性</w:t>
            </w:r>
          </w:p>
        </w:tc>
        <w:tc>
          <w:tcPr>
            <w:tcW w:type="dxa" w:w="3322"/>
          </w:tcPr>
          <w:p>
            <w:pPr>
              <w:pStyle w:val="null3"/>
            </w:pPr>
            <w:r>
              <w:rPr>
                <w:rFonts w:ascii="仿宋_GB2312" w:hAnsi="仿宋_GB2312" w:cs="仿宋_GB2312" w:eastAsia="仿宋_GB2312"/>
              </w:rPr>
              <w:t>对磋商文件技术要求未作出明确响应，对不得偏离的要求是否作了实质性响应</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法律、法规和磋商文件规定的其他无效响应情形</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 xml:space="preserve"> 针对本项目配备满足专业要求的维护人员、维护工具、维护人员专业程度及维保工具清单响应。 维护人员配备合理及维护设备配备齐全得4分； 维护人员配及维护设备配备基本齐全得2分； 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维护方案</w:t>
            </w:r>
          </w:p>
        </w:tc>
        <w:tc>
          <w:tcPr>
            <w:tcW w:type="dxa" w:w="2492"/>
          </w:tcPr>
          <w:p>
            <w:pPr>
              <w:pStyle w:val="null3"/>
            </w:pPr>
            <w:r>
              <w:rPr>
                <w:rFonts w:ascii="仿宋_GB2312" w:hAnsi="仿宋_GB2312" w:cs="仿宋_GB2312" w:eastAsia="仿宋_GB2312"/>
              </w:rPr>
              <w:t>针对本项目提供的维保方案，内容包括但不限于①维护信息全面梳理②分阶段定期维护计划③精细化维护内容制定④应急故障处理预案⑤日常维护保障机制⑥维护效果评估体系⑦操作人员培训计划⑧维护工作持续改进机制等内容。方案内容详细完整、针对性强、可行性高，符合项目实际要求。每项满分2分，缺项不得分，每项内容存在缺陷，扣1分。缺陷是指内容不合理、虽有内容但不完善、内容表述前后不一致、套用其他项目方案或与项目需求不匹配及其他不利于项目实施的任意一种情形。</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响应与处理效率</w:t>
            </w:r>
          </w:p>
        </w:tc>
        <w:tc>
          <w:tcPr>
            <w:tcW w:type="dxa" w:w="2492"/>
          </w:tcPr>
          <w:p>
            <w:pPr>
              <w:pStyle w:val="null3"/>
            </w:pPr>
            <w:r>
              <w:rPr>
                <w:rFonts w:ascii="仿宋_GB2312" w:hAnsi="仿宋_GB2312" w:cs="仿宋_GB2312" w:eastAsia="仿宋_GB2312"/>
              </w:rPr>
              <w:t>针对本项目提供的响应与处理效率，内容包括但不限于①多级响应时效承诺②快速到场机制③问题分级处理流程④通讯保障机制⑤远程指挥保障机制⑥问题处理进度实时反馈⑦维护工具与备件随车携带⑧响应与处理效率考核机制等内容。方案内容详细完整、针对性强、可行性高，符合项目实际要求。每项满分2分，缺项不得分，每项内容存在缺陷，扣1分。缺陷是指内容不合理、虽有内容但不完善、内容表述前后不一致、套用其他项目方案或与项目需求不匹配及其他不利于项目实施的任意一种情形。</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重点难点分析和合理化建议</w:t>
            </w:r>
          </w:p>
        </w:tc>
        <w:tc>
          <w:tcPr>
            <w:tcW w:type="dxa" w:w="2492"/>
          </w:tcPr>
          <w:p>
            <w:pPr>
              <w:pStyle w:val="null3"/>
            </w:pPr>
            <w:r>
              <w:rPr>
                <w:rFonts w:ascii="仿宋_GB2312" w:hAnsi="仿宋_GB2312" w:cs="仿宋_GB2312" w:eastAsia="仿宋_GB2312"/>
              </w:rPr>
              <w:t>针对本项目提供有①重点分析②难点分析③针对所提出的重点、难点有相应的解决方案④针对本项目服务内容及特点提出的合理化建议。每项满分2分，缺项不得分，每项内容存在缺陷，扣1分。缺陷是指内容不合理、虽有内容但不完善、内容表述前后不一致、套用其他项目方案或与项目需求不匹配及其他不利于项目实施。</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项目质量保障体系</w:t>
            </w:r>
          </w:p>
        </w:tc>
        <w:tc>
          <w:tcPr>
            <w:tcW w:type="dxa" w:w="2492"/>
          </w:tcPr>
          <w:p>
            <w:pPr>
              <w:pStyle w:val="null3"/>
            </w:pPr>
            <w:r>
              <w:rPr>
                <w:rFonts w:ascii="仿宋_GB2312" w:hAnsi="仿宋_GB2312" w:cs="仿宋_GB2312" w:eastAsia="仿宋_GB2312"/>
              </w:rPr>
              <w:t>针对本项目提供的项目质量保障体系，内容包括但不限于①质量目标②质量控制体系③内部审核制度④外部监督机制⑤质量保障措施⑥多维度质量监督等内容。方案内容详细完整、针对性强、可行性高，符合项目实际要求。每项满分2分，缺项不得分，每项内容存在缺陷，扣1分。缺陷是指内容不合理、虽有内容但不完善、内 容表述前后不一致、套用其他项目方案或与项目需求不匹配及其他不利于项目实施的任意一种情形。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维护保障措施</w:t>
            </w:r>
          </w:p>
        </w:tc>
        <w:tc>
          <w:tcPr>
            <w:tcW w:type="dxa" w:w="2492"/>
          </w:tcPr>
          <w:p>
            <w:pPr>
              <w:pStyle w:val="null3"/>
            </w:pPr>
            <w:r>
              <w:rPr>
                <w:rFonts w:ascii="仿宋_GB2312" w:hAnsi="仿宋_GB2312" w:cs="仿宋_GB2312" w:eastAsia="仿宋_GB2312"/>
              </w:rPr>
              <w:t>针对本项目提供的维护保障措施，内容包括但不限于①全链条配件管控②标准化维保工艺体系③多层级验收机制④维护后跟踪与回溯⑤专业维护团队保障⑥风险防控与应急响应⑦改进与奖惩激励等内容。方案内容详细完整、针对性强、可行性高，符合项目实际要求。每项满分2分，缺项不得分，每项内容存在缺陷，扣1分。缺陷是指内容不合理、虽有内容但不完善、内容表述前后不一致、套用其他项目方案或与项目需求不匹配及其他不利于项目实施的任意一种情形</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延伸服务实用性</w:t>
            </w:r>
          </w:p>
        </w:tc>
        <w:tc>
          <w:tcPr>
            <w:tcW w:type="dxa" w:w="2492"/>
          </w:tcPr>
          <w:p>
            <w:pPr>
              <w:pStyle w:val="null3"/>
            </w:pPr>
            <w:r>
              <w:rPr>
                <w:rFonts w:ascii="仿宋_GB2312" w:hAnsi="仿宋_GB2312" w:cs="仿宋_GB2312" w:eastAsia="仿宋_GB2312"/>
              </w:rPr>
              <w:t>针对本项目提供的项目质量保障体系，内容包括但不限于①设备全周期监测与预警②精细化维保档案支持管理决策等内容。方案内容详细完整、针对性强、可行性高，符合项目实际要求。每项满分2.5分，缺项不得分，每项内容存在缺陷，扣1.5分。缺陷是指内容不合理、虽有内容但不完善、内容表述前后不一致、套用其他项目方案或与项目需求不匹配及其他不利于项目实施的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安全保障方案</w:t>
            </w:r>
          </w:p>
        </w:tc>
        <w:tc>
          <w:tcPr>
            <w:tcW w:type="dxa" w:w="2492"/>
          </w:tcPr>
          <w:p>
            <w:pPr>
              <w:pStyle w:val="null3"/>
            </w:pPr>
            <w:r>
              <w:rPr>
                <w:rFonts w:ascii="仿宋_GB2312" w:hAnsi="仿宋_GB2312" w:cs="仿宋_GB2312" w:eastAsia="仿宋_GB2312"/>
              </w:rPr>
              <w:t>针对本项目提供的项目安全保障方案，内容包括但不限于①患者信息与诊疗安全保障②现场作业安全管控等内容。方案内容详细完整、针对性强、可行性高，符合项目实际要求。每项满分2.5分，缺项不得分，每项内容存在缺陷，扣1.5分。缺陷是指内容不合理、虽有内容但不完善、内容表述前后不一致、套用其他项目方案或与项目需求不匹配及其他不利于项目实施的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针对本项目提供的项目售后服务，内容包括但不限于①服务内容②服务响应时间③服务期限④后续服务保障能力⑤服务承诺等内容。方案内容详细完整、针对性强、可行性高，符合项目实际要求。每项满分2分，缺项不得分，每项内容存在缺陷，扣1分。缺陷是指内容不合理、虽有内容但不完善、内容表述前后不一致、套用其他项目方案或与项目需求不匹配及其他不利于项目实施的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关于印发《政府采购竞争性磋商采购方式管理暂行办法》的通知财库〔2014〕214号的有关规定：综合评分法中的价格分统一采用低价优先法计算，即满足磋商文件要求且最后报价最低的供应商的价格为磋商基准价，其价格分为满分。其他供应商的价格分统一按照下列公式计算： 磋商报价得分=（磋商基准价/最后磋商报价）×价格权值×100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项目负责人资质</w:t>
            </w:r>
          </w:p>
        </w:tc>
        <w:tc>
          <w:tcPr>
            <w:tcW w:type="dxa" w:w="2492"/>
          </w:tcPr>
          <w:p>
            <w:pPr>
              <w:pStyle w:val="null3"/>
            </w:pPr>
            <w:r>
              <w:rPr>
                <w:rFonts w:ascii="仿宋_GB2312" w:hAnsi="仿宋_GB2312" w:cs="仿宋_GB2312" w:eastAsia="仿宋_GB2312"/>
              </w:rPr>
              <w:t>项目负责人持有有效的安检门系统维修证书（需与安装调试技术能力匹配）或设备厂家出具的、包含安检门安装调试专业知识的培训证书的，得 2 分。针对本项目安检门系统安装和调试工作，配备满足专业要求的作业人员（需熟悉安检门安装流程、调试技术，具备设备组装与参数校准能力）、专用工具（需适配本项目安检门型号，含安装固定工具、调试检测仪器等），并提供作业人员专业程度说明（如安检门安装调试从业年限、同类项目操作经验等）及专用工具清单（需标注工具与安装调试环节的对应用途）的，按以下标准评分： 作业人员配备合理（数量能覆盖安装调试全流程，专业能力匹配本项目安检门技术参数）且专用工具配备齐全（含安装固定、参数调试、故障检测等全环节工具）的，得 2 分； 作业人员配备及专用工具配备基本齐全（能满足安装调试基础需求，仅缺少非关键型号辅助工具或 1 名辅助作业人员）的，得 1 分； 未提供作业人员、专用工具相关说明及清单，或内容与安检门安装调试需求无关的，不得分。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针对本项目的实施方案，包括①设计深度与规范符合性②设计内容完整性③设计思路清晰性④需求匹配度⑤实施可行性⑥技术完整性⑦操作人员培训计划⑧维保工作持续改进机制等内容。方案内容详细完整、针对性强、可行性高，符合项目实际要求。每项满分2分，缺项不得分,每项内容存在缺陷，扣16分。缺陷是指内容不合理、虽有内容但不完善、内容表述前后不一致、套用其他项目方案或与项目需求不匹配及其他不利于项目实施的任意一种情形</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对本项目的理解</w:t>
            </w:r>
          </w:p>
        </w:tc>
        <w:tc>
          <w:tcPr>
            <w:tcW w:type="dxa" w:w="2492"/>
          </w:tcPr>
          <w:p>
            <w:pPr>
              <w:pStyle w:val="null3"/>
            </w:pPr>
            <w:r>
              <w:rPr>
                <w:rFonts w:ascii="仿宋_GB2312" w:hAnsi="仿宋_GB2312" w:cs="仿宋_GB2312" w:eastAsia="仿宋_GB2312"/>
              </w:rPr>
              <w:t>针对本项目的理解，内容包括但不限于①对本项目的背景、内容及意义理解②项目的重点内容分析③项目功能定位④项目内容全面认知等。方案内容详细完整、针对性强、可行性高，符合项目实际要求。每项满分2分，缺项不得分，每项内容存在缺陷，扣1分。缺陷是指内容不合理、虽有内容但不完善、内容表述前后不一致、套用其他项目方案或与项目需求不匹配及其他不利于项目实施的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项目重难点分析</w:t>
            </w:r>
          </w:p>
        </w:tc>
        <w:tc>
          <w:tcPr>
            <w:tcW w:type="dxa" w:w="2492"/>
          </w:tcPr>
          <w:p>
            <w:pPr>
              <w:pStyle w:val="null3"/>
            </w:pPr>
            <w:r>
              <w:rPr>
                <w:rFonts w:ascii="仿宋_GB2312" w:hAnsi="仿宋_GB2312" w:cs="仿宋_GB2312" w:eastAsia="仿宋_GB2312"/>
              </w:rPr>
              <w:t>针对本项目的重难点分析，包括①重点难点识别全面性②应对措施针对性③技术衔接与兼容性问题④建议可行性等。方案内容详细完整、针对性强、可行性高，符合项目实际要求。每项满分2分，缺项不得分,每项内容存在缺陷，扣1分。缺陷是指内容不合理、虽有内容但不完善、内容表述前后不一致、套用其他项目方案或与项目需求不匹配及其他不利于项目实施的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质量控制的保证措施</w:t>
            </w:r>
          </w:p>
        </w:tc>
        <w:tc>
          <w:tcPr>
            <w:tcW w:type="dxa" w:w="2492"/>
          </w:tcPr>
          <w:p>
            <w:pPr>
              <w:pStyle w:val="null3"/>
            </w:pPr>
            <w:r>
              <w:rPr>
                <w:rFonts w:ascii="仿宋_GB2312" w:hAnsi="仿宋_GB2312" w:cs="仿宋_GB2312" w:eastAsia="仿宋_GB2312"/>
              </w:rPr>
              <w:t>针对本项目的质量控制的保证措施，包括①规范执行与标准落地②全流程质量管控机制③专业协同与技术复核④质量追溯与动态优化等。方案内容详细完整、针对性强、可行性高，符合项目实际要求。每项满分2分，缺项不得分,每项内容存在缺陷，扣1分。缺陷是指内容不合理、虽有内容但不完善、内容表述前后不一致、套用其他项目方案或与项目需求不匹配及其他不利于项目实施的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时间进度安排计划</w:t>
            </w:r>
          </w:p>
        </w:tc>
        <w:tc>
          <w:tcPr>
            <w:tcW w:type="dxa" w:w="2492"/>
          </w:tcPr>
          <w:p>
            <w:pPr>
              <w:pStyle w:val="null3"/>
            </w:pPr>
            <w:r>
              <w:rPr>
                <w:rFonts w:ascii="仿宋_GB2312" w:hAnsi="仿宋_GB2312" w:cs="仿宋_GB2312" w:eastAsia="仿宋_GB2312"/>
              </w:rPr>
              <w:t>针对本项目的时间进度安排计划，包括①阶段划分与关键节点②资源配置与进度保障③风险应对与动态调整④进度可视化与验收标准等。方案内容详细完整、针对性强、可行性高，符合项目实际要求。每项满分2分，缺项不得分,每项内容存在缺陷，扣1分。缺陷是指内容不合理、虽有内容但不完善、内容表述前后不一致、套用其他项目方案或与项目需求不匹配及其他不利于项目实施的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服务组织的保证措施</w:t>
            </w:r>
          </w:p>
        </w:tc>
        <w:tc>
          <w:tcPr>
            <w:tcW w:type="dxa" w:w="2492"/>
          </w:tcPr>
          <w:p>
            <w:pPr>
              <w:pStyle w:val="null3"/>
            </w:pPr>
            <w:r>
              <w:rPr>
                <w:rFonts w:ascii="仿宋_GB2312" w:hAnsi="仿宋_GB2312" w:cs="仿宋_GB2312" w:eastAsia="仿宋_GB2312"/>
              </w:rPr>
              <w:t>针对本项目的服务组织的保证措施，包括①团队架构与职责分工②资沟通机制与流程规范③风险防控与应急响应④质量监督与持续改进等。方案内容详细完整、针对性强、可行性高，符合项目实际要求。每项满分2分，缺项不得分,每项内容存在缺陷，扣1分。缺陷是指内容不合理、虽有内容但不完善、内容表述前后不一致、套用其他项目方案或与项目需求不匹配及其他不利于项目实施的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项目成本控制措施</w:t>
            </w:r>
          </w:p>
        </w:tc>
        <w:tc>
          <w:tcPr>
            <w:tcW w:type="dxa" w:w="2492"/>
          </w:tcPr>
          <w:p>
            <w:pPr>
              <w:pStyle w:val="null3"/>
            </w:pPr>
            <w:r>
              <w:rPr>
                <w:rFonts w:ascii="仿宋_GB2312" w:hAnsi="仿宋_GB2312" w:cs="仿宋_GB2312" w:eastAsia="仿宋_GB2312"/>
              </w:rPr>
              <w:t>针对本项目的项目成本控制措施，包括①限额与目标分解②方案比选与技术经济论证③全流程成本管控节点④动态监控与偏差调整等。方案内容详细完整、针对性强、可行性高，符合项目实际要求。每项满分2分，缺项不得分,每项内容存在缺陷，扣1分。缺陷是指内容不合理、虽有内容但不完善、内容表述前后不一致、套用其他项目方案或与项目需求不匹配及其他不利于项目实施的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针对本项目的项目服务承诺，包括①响应及时性保障②设计变更管理③后期服务跟进等。方案内容详细完整、针对性强、可行性高，符合项目实际要求。每项满分2分，缺项不得分,每项内容存在缺陷，扣1分。缺陷是指内容不合理、虽有内容但不完善、内容表述前后不一致、套用其他项目方案或与项目需求不匹配及其他不利于项目实施的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响应与处理效率</w:t>
            </w:r>
          </w:p>
        </w:tc>
        <w:tc>
          <w:tcPr>
            <w:tcW w:type="dxa" w:w="2492"/>
          </w:tcPr>
          <w:p>
            <w:pPr>
              <w:pStyle w:val="null3"/>
            </w:pPr>
            <w:r>
              <w:rPr>
                <w:rFonts w:ascii="仿宋_GB2312" w:hAnsi="仿宋_GB2312" w:cs="仿宋_GB2312" w:eastAsia="仿宋_GB2312"/>
              </w:rPr>
              <w:t>针对本项目提供的响应与处理效率，内容包括但不限于①多级响应时效承诺②快速到场机制③故障分级处理流程④远程技术支持前置⑤应急通信保障方案⑥故障处理进度实时反馈⑦维修工具与备件随车携带⑧响应与处理效率考核机制等内容。方案内容详细完整、针对性强、可行性高，符合项目实际要求。每项满分2分，缺项不得分，每项内容存在缺陷，扣1分。缺陷是指内容不合理、虽有内容但不完善、内容表述前后不一致、套用其他项目方案或与项目需求不匹配及其他不利于项目实施的任意一种情形。</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评审报价最低的报价为评标基准价，其价格分为满分。其他供应商的价格分统一按照下列公式计算：投标报价得分=（评标基准价/投标报价）×价格权值。符合招标文件规定的小微企业、监狱企业、残疾人福利企业优惠条件的供应商，价格给予10%的扣除，用扣除后的价格参与评审。</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