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版本号：STHLH（F）-2025-06820250825001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2025三原半程马拉松比赛项目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STHLH（F）-2025-068</w:t>
      </w:r>
      <w:r>
        <w:br/>
      </w:r>
      <w:r>
        <w:br/>
      </w:r>
      <w:r>
        <w:br/>
      </w:r>
    </w:p>
    <w:p>
      <w:pPr>
        <w:pStyle w:val="null3"/>
        <w:jc w:val="center"/>
        <w:outlineLvl w:val="2"/>
      </w:pPr>
      <w:r>
        <w:rPr>
          <w:rFonts w:ascii="仿宋_GB2312" w:hAnsi="仿宋_GB2312" w:cs="仿宋_GB2312" w:eastAsia="仿宋_GB2312"/>
          <w:sz w:val="28"/>
          <w:b/>
        </w:rPr>
        <w:t>三原县文化和旅游局</w:t>
      </w:r>
    </w:p>
    <w:p>
      <w:pPr>
        <w:pStyle w:val="null3"/>
        <w:jc w:val="center"/>
        <w:outlineLvl w:val="2"/>
      </w:pPr>
      <w:r>
        <w:rPr>
          <w:rFonts w:ascii="仿宋_GB2312" w:hAnsi="仿宋_GB2312" w:cs="仿宋_GB2312" w:eastAsia="仿宋_GB2312"/>
          <w:sz w:val="28"/>
          <w:b/>
        </w:rPr>
        <w:t>陕西泰和力华工程管理咨询有限公司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陕西泰和力华工程管理咨询有限公司</w:t>
      </w:r>
      <w:r>
        <w:rPr>
          <w:rFonts w:ascii="仿宋_GB2312" w:hAnsi="仿宋_GB2312" w:cs="仿宋_GB2312" w:eastAsia="仿宋_GB2312"/>
        </w:rPr>
        <w:t>（以下简称“代理机构”）受</w:t>
      </w:r>
      <w:r>
        <w:rPr>
          <w:rFonts w:ascii="仿宋_GB2312" w:hAnsi="仿宋_GB2312" w:cs="仿宋_GB2312" w:eastAsia="仿宋_GB2312"/>
        </w:rPr>
        <w:t>三原县文化和旅游局</w:t>
      </w:r>
      <w:r>
        <w:rPr>
          <w:rFonts w:ascii="仿宋_GB2312" w:hAnsi="仿宋_GB2312" w:cs="仿宋_GB2312" w:eastAsia="仿宋_GB2312"/>
        </w:rPr>
        <w:t>委托，拟对</w:t>
      </w:r>
      <w:r>
        <w:rPr>
          <w:rFonts w:ascii="仿宋_GB2312" w:hAnsi="仿宋_GB2312" w:cs="仿宋_GB2312" w:eastAsia="仿宋_GB2312"/>
        </w:rPr>
        <w:t>2025三原半程马拉松比赛项目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STHLH（F）-2025-068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2025三原半程马拉松比赛项目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2025三原半程马拉松赛事，拟设男、女半程马拉松（21.0975公里），男、女全民欢乐跑（4公里）两个项目，赛事规模4800人，其中半程马拉松2000人，全民欢乐跑2800人。起终点设在右任书法广场。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采购包1（2025三原半程马拉松比赛项目）：属于专门面向中小企业采购。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1、营业执照等主体资格证明文件：供应商须具有独立承担民事责任能力的法人、其他组织或自然人，并出具合法有效的营业执照或事业单位法人证书等国家规定的相关证明，自然人参与的提供其身份证明；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要求：提供2024年年度经审计的财务报告（成立时间至提交投标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3、书面声明：具有履行合同所必需的设备和专业技术能力。</w:t>
      </w:r>
    </w:p>
    <w:p>
      <w:pPr>
        <w:pStyle w:val="null3"/>
      </w:pPr>
      <w:r>
        <w:rPr>
          <w:rFonts w:ascii="仿宋_GB2312" w:hAnsi="仿宋_GB2312" w:cs="仿宋_GB2312" w:eastAsia="仿宋_GB2312"/>
        </w:rPr>
        <w:t>4、税收缴纳证明：提供投标截止时间前6个月内已缴纳的至少一个月的纳税证明或完税证明，依法免税的单位应提供相关证明材料。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5、社会保障资金缴纳证明：提供投标截止时间前6个月内已缴存的至少一个月的社会保障资金缴存单据或社保机构开具的社会保险参保缴费情况证明，依法不需要缴纳社会保障资金的单位应提供相关证明材料。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6、无违法记录书面声明：参加政府采购活动前3年内，在经营活动中没有重大违法记录。</w:t>
      </w:r>
    </w:p>
    <w:p>
      <w:pPr>
        <w:pStyle w:val="null3"/>
      </w:pPr>
      <w:r>
        <w:rPr>
          <w:rFonts w:ascii="仿宋_GB2312" w:hAnsi="仿宋_GB2312" w:cs="仿宋_GB2312" w:eastAsia="仿宋_GB2312"/>
        </w:rPr>
        <w:t>7、信誉记录：不得被“信用中国”网站中列入“失信被执行人或重大税收违法失信主体”；不得为中国政府采购网“政府采购严重违法失信行为记录名单”中的供应商。</w:t>
      </w:r>
    </w:p>
    <w:p>
      <w:pPr>
        <w:pStyle w:val="null3"/>
      </w:pPr>
      <w:r>
        <w:rPr>
          <w:rFonts w:ascii="仿宋_GB2312" w:hAnsi="仿宋_GB2312" w:cs="仿宋_GB2312" w:eastAsia="仿宋_GB2312"/>
        </w:rPr>
        <w:t>8、控股、管理关系声明：单位负责人为同一人或者存在直接控股、管理关系的不同供应商，不得参加同一合同下的政府采购活动。</w:t>
      </w:r>
    </w:p>
    <w:p>
      <w:pPr>
        <w:pStyle w:val="null3"/>
      </w:pPr>
      <w:r>
        <w:rPr>
          <w:rFonts w:ascii="仿宋_GB2312" w:hAnsi="仿宋_GB2312" w:cs="仿宋_GB2312" w:eastAsia="仿宋_GB2312"/>
        </w:rPr>
        <w:t>9、联合体要求：本项目不接受联合体投标。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三原县池阳大街150号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029-32282682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陕西泰和力华工程管理咨询有限公司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咸阳市秦都区秦皇南路大秦御港城10号楼18层1806室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采购包1：1,635,505.80元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投标人在领取中标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三原县文化和旅游局</w:t>
      </w:r>
      <w:r>
        <w:rPr>
          <w:rFonts w:ascii="仿宋_GB2312" w:hAnsi="仿宋_GB2312" w:cs="仿宋_GB2312" w:eastAsia="仿宋_GB2312"/>
        </w:rPr>
        <w:t>和</w:t>
      </w:r>
      <w:r>
        <w:rPr>
          <w:rFonts w:ascii="仿宋_GB2312" w:hAnsi="仿宋_GB2312" w:cs="仿宋_GB2312" w:eastAsia="仿宋_GB2312"/>
        </w:rPr>
        <w:t>陕西泰和力华工程管理咨询有限公司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陕西泰和力华工程管理咨询有限公司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陕西泰和力华工程管理咨询有限公司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按照规定时间，履约活动要求。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联系人：惠贞</w:t>
      </w:r>
    </w:p>
    <w:p>
      <w:pPr>
        <w:pStyle w:val="null3"/>
      </w:pPr>
      <w:r>
        <w:rPr>
          <w:rFonts w:ascii="仿宋_GB2312" w:hAnsi="仿宋_GB2312" w:cs="仿宋_GB2312" w:eastAsia="仿宋_GB2312"/>
        </w:rPr>
        <w:t>联系电话：029-38016888</w:t>
      </w:r>
    </w:p>
    <w:p>
      <w:pPr>
        <w:pStyle w:val="null3"/>
      </w:pPr>
      <w:r>
        <w:rPr>
          <w:rFonts w:ascii="仿宋_GB2312" w:hAnsi="仿宋_GB2312" w:cs="仿宋_GB2312" w:eastAsia="仿宋_GB2312"/>
        </w:rPr>
        <w:t>地址：咸阳市秦都区秦皇南路大秦御港城10号楼18层1806室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2025三原半程马拉松赛事拟设男、女半程马拉松(21.0975公里)、男、女全民欢乐跑(4公里)两个项目。赛事规模 4800人，其中半程马拉松2000人，全民欢乐跑2800人。起终点设在右任书法广场。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1,635,505.80</w:t>
      </w:r>
    </w:p>
    <w:p>
      <w:pPr>
        <w:pStyle w:val="null3"/>
      </w:pPr>
      <w:r>
        <w:rPr>
          <w:rFonts w:ascii="仿宋_GB2312" w:hAnsi="仿宋_GB2312" w:cs="仿宋_GB2312" w:eastAsia="仿宋_GB2312"/>
        </w:rPr>
        <w:t>采购包最高限价（元）: 1,635,505.80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2025三原半程马拉松比赛项目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1,635,505.80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标的名称：2025三原半程马拉松比赛项目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服务期限：</w:t>
            </w:r>
            <w:r>
              <w:rPr>
                <w:rFonts w:ascii="仿宋_GB2312" w:hAnsi="仿宋_GB2312" w:cs="仿宋_GB2312" w:eastAsia="仿宋_GB2312"/>
                <w:sz w:val="21"/>
              </w:rPr>
              <w:t>合同签订之日起至赛事结束后</w:t>
            </w:r>
            <w:r>
              <w:rPr>
                <w:rFonts w:ascii="仿宋_GB2312" w:hAnsi="仿宋_GB2312" w:cs="仿宋_GB2312" w:eastAsia="仿宋_GB2312"/>
                <w:sz w:val="21"/>
              </w:rPr>
              <w:t>90日历天</w:t>
            </w:r>
          </w:p>
          <w:p>
            <w:pPr>
              <w:pStyle w:val="null3"/>
            </w:pPr>
            <w:r>
              <w:rPr>
                <w:rFonts w:ascii="仿宋_GB2312" w:hAnsi="仿宋_GB2312" w:cs="仿宋_GB2312" w:eastAsia="仿宋_GB2312"/>
              </w:rPr>
              <w:t>2、</w:t>
            </w:r>
            <w:r>
              <w:rPr>
                <w:rFonts w:ascii="仿宋_GB2312" w:hAnsi="仿宋_GB2312" w:cs="仿宋_GB2312" w:eastAsia="仿宋_GB2312"/>
                <w:sz w:val="21"/>
              </w:rPr>
              <w:t>质量标准：</w:t>
            </w:r>
            <w:r>
              <w:rPr>
                <w:rFonts w:ascii="仿宋_GB2312" w:hAnsi="仿宋_GB2312" w:cs="仿宋_GB2312" w:eastAsia="仿宋_GB2312"/>
                <w:sz w:val="21"/>
              </w:rPr>
              <w:t>符合举办半程马拉松赛事的行业标准</w:t>
            </w:r>
          </w:p>
          <w:p>
            <w:pPr>
              <w:pStyle w:val="null3"/>
            </w:pPr>
            <w:r>
              <w:rPr>
                <w:rFonts w:ascii="仿宋_GB2312" w:hAnsi="仿宋_GB2312" w:cs="仿宋_GB2312" w:eastAsia="仿宋_GB2312"/>
              </w:rPr>
              <w:t>3、</w:t>
            </w:r>
            <w:r>
              <w:rPr>
                <w:rFonts w:ascii="仿宋_GB2312" w:hAnsi="仿宋_GB2312" w:cs="仿宋_GB2312" w:eastAsia="仿宋_GB2312"/>
                <w:sz w:val="21"/>
              </w:rPr>
              <w:t>比赛路程：</w:t>
            </w:r>
          </w:p>
          <w:p>
            <w:pPr>
              <w:pStyle w:val="null3"/>
            </w:pPr>
            <w:r>
              <w:rPr>
                <w:rFonts w:ascii="仿宋_GB2312" w:hAnsi="仿宋_GB2312" w:cs="仿宋_GB2312" w:eastAsia="仿宋_GB2312"/>
              </w:rPr>
              <w:t>（一）半程马拉松</w:t>
            </w:r>
          </w:p>
          <w:p>
            <w:pPr>
              <w:pStyle w:val="null3"/>
            </w:pPr>
            <w:r>
              <w:rPr>
                <w:rFonts w:ascii="仿宋_GB2312" w:hAnsi="仿宋_GB2312" w:cs="仿宋_GB2312" w:eastAsia="仿宋_GB2312"/>
              </w:rPr>
              <w:t>右任书法广场（起点）东三路（右转）</w:t>
            </w:r>
            <w:r>
              <w:rPr>
                <w:rFonts w:ascii="仿宋_GB2312" w:hAnsi="仿宋_GB2312" w:cs="仿宋_GB2312" w:eastAsia="仿宋_GB2312"/>
              </w:rPr>
              <w:t>→兴隆路（右转）→临履大街（左转）→政府街→盐店街（左转）→南大街（右转）→池阳大街西段（左转）→西环路→西环路远端（折返）→高新四路→高新四路远端（折返）→西环路（右转）→池阳大街西段（右转）→南关正街→南环路（左转）→东三路南段（右转）→池阳大街东段（左转）→东五路（左转）→规划一路（右转）→东三路远端（折返）→东三路右任书法广场（终点）</w:t>
            </w:r>
            <w:r>
              <w:rPr>
                <w:rFonts w:ascii="仿宋_GB2312" w:hAnsi="仿宋_GB2312" w:cs="仿宋_GB2312" w:eastAsia="仿宋_GB2312"/>
              </w:rPr>
              <w:t>全程</w:t>
            </w:r>
            <w:r>
              <w:rPr>
                <w:rFonts w:ascii="仿宋_GB2312" w:hAnsi="仿宋_GB2312" w:cs="仿宋_GB2312" w:eastAsia="仿宋_GB2312"/>
              </w:rPr>
              <w:t>21.0975公里。</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全民欢乐跑</w:t>
            </w:r>
          </w:p>
          <w:p>
            <w:pPr>
              <w:pStyle w:val="null3"/>
              <w:jc w:val="both"/>
            </w:pPr>
            <w:r>
              <w:rPr>
                <w:rFonts w:ascii="仿宋_GB2312" w:hAnsi="仿宋_GB2312" w:cs="仿宋_GB2312" w:eastAsia="仿宋_GB2312"/>
                <w:sz w:val="21"/>
              </w:rPr>
              <w:t>右任书法广场（起点）东三路（右转）</w:t>
            </w:r>
            <w:r>
              <w:rPr>
                <w:rFonts w:ascii="仿宋_GB2312" w:hAnsi="仿宋_GB2312" w:cs="仿宋_GB2312" w:eastAsia="仿宋_GB2312"/>
                <w:sz w:val="21"/>
              </w:rPr>
              <w:t>→兴隆路（右转）→临履大街（左转）→政府街→盐店街（右转）→南大街（右转）→中山街（右转）→城隍庙步行街→三原体育运动中心（终点）全程约4公里。</w:t>
            </w:r>
          </w:p>
          <w:p>
            <w:pPr>
              <w:pStyle w:val="null3"/>
              <w:jc w:val="both"/>
            </w:pPr>
            <w:r>
              <w:rPr>
                <w:rFonts w:ascii="仿宋_GB2312" w:hAnsi="仿宋_GB2312" w:cs="仿宋_GB2312" w:eastAsia="仿宋_GB2312"/>
              </w:rPr>
              <w:t>4、</w:t>
            </w:r>
            <w:r>
              <w:rPr>
                <w:rFonts w:ascii="仿宋_GB2312" w:hAnsi="仿宋_GB2312" w:cs="仿宋_GB2312" w:eastAsia="仿宋_GB2312"/>
              </w:rPr>
              <w:t>比赛项目及规模：</w:t>
            </w:r>
          </w:p>
          <w:p>
            <w:pPr>
              <w:pStyle w:val="null3"/>
            </w:pPr>
            <w:r>
              <w:rPr>
                <w:rFonts w:ascii="仿宋_GB2312" w:hAnsi="仿宋_GB2312" w:cs="仿宋_GB2312" w:eastAsia="仿宋_GB2312"/>
              </w:rPr>
              <w:t>（一）男、女半程马拉松（</w:t>
            </w:r>
            <w:r>
              <w:rPr>
                <w:rFonts w:ascii="仿宋_GB2312" w:hAnsi="仿宋_GB2312" w:cs="仿宋_GB2312" w:eastAsia="仿宋_GB2312"/>
              </w:rPr>
              <w:t>21.0975公里），规模2000人</w:t>
            </w:r>
          </w:p>
          <w:p>
            <w:pPr>
              <w:pStyle w:val="null3"/>
              <w:jc w:val="both"/>
            </w:pPr>
            <w:r>
              <w:rPr>
                <w:rFonts w:ascii="仿宋_GB2312" w:hAnsi="仿宋_GB2312" w:cs="仿宋_GB2312" w:eastAsia="仿宋_GB2312"/>
                <w:sz w:val="21"/>
              </w:rPr>
              <w:t>（二）男、女全民欢乐跑（</w:t>
            </w:r>
            <w:r>
              <w:rPr>
                <w:rFonts w:ascii="仿宋_GB2312" w:hAnsi="仿宋_GB2312" w:cs="仿宋_GB2312" w:eastAsia="仿宋_GB2312"/>
                <w:sz w:val="21"/>
              </w:rPr>
              <w:t>4公里），规模2800人</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合同签订之日起至赛事结束后90日历天。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项目按照计划工期完成后，经甲方组织验收并达到合格（符合国际执行的标准和相关规定）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比赛顺利结束后90日历天</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年度经审计的财务报告（成立时间至提交投标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年度经审计的财务报告（成立时间至提交投标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不得被“信用中国”网站中列入“失信被执行人或重大税收违法失信主体”；不得为中国政府采购网“政府采购严重违法失信行为记录名单”中的供应商。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总体策划方案</w:t>
            </w:r>
          </w:p>
        </w:tc>
        <w:tc>
          <w:tcPr>
            <w:tcW w:type="dxa" w:w="2492"/>
          </w:tcPr>
          <w:p>
            <w:pPr>
              <w:pStyle w:val="null3"/>
            </w:pPr>
            <w:r>
              <w:rPr>
                <w:rFonts w:ascii="仿宋_GB2312" w:hAnsi="仿宋_GB2312" w:cs="仿宋_GB2312" w:eastAsia="仿宋_GB2312"/>
              </w:rPr>
              <w:t>①赛事规划②策划方案③工作思路④内容安排 评审标准：切合本项目实际情况，内容与要点相符、每个要点均有展开详细的阐述且能够适用于本项目的得18分；评审内容任意一项缺项扣4.5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总体执行方案</w:t>
            </w:r>
          </w:p>
        </w:tc>
        <w:tc>
          <w:tcPr>
            <w:tcW w:type="dxa" w:w="2492"/>
          </w:tcPr>
          <w:p>
            <w:pPr>
              <w:pStyle w:val="null3"/>
            </w:pPr>
            <w:r>
              <w:rPr>
                <w:rFonts w:ascii="仿宋_GB2312" w:hAnsi="仿宋_GB2312" w:cs="仿宋_GB2312" w:eastAsia="仿宋_GB2312"/>
              </w:rPr>
              <w:t>根据投标人针对本项目提供①阶段性工作计划②志愿者工作方案③赛事安保方案④医疗保障工作方案⑤赛事物资保障方案⑥交通管制与疏散方案 评审标准：切合本项目实际情况，内容与要点相符、每个要点均有展开详细的阐述且能够适用于本项目的得18分；评审内容任意一项缺项扣3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①应急方案②处置办法 评审标准：切合本项目实际情况，内容与要点相符、每个要点均有展开详细的阐述且能够适用于本项目的得12分；评审内容任意一项缺项扣6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媒体宣传推广方案</w:t>
            </w:r>
          </w:p>
        </w:tc>
        <w:tc>
          <w:tcPr>
            <w:tcW w:type="dxa" w:w="2492"/>
          </w:tcPr>
          <w:p>
            <w:pPr>
              <w:pStyle w:val="null3"/>
            </w:pPr>
            <w:r>
              <w:rPr>
                <w:rFonts w:ascii="仿宋_GB2312" w:hAnsi="仿宋_GB2312" w:cs="仿宋_GB2312" w:eastAsia="仿宋_GB2312"/>
              </w:rPr>
              <w:t>①媒体宣传推广计划②品牌建设方案 评审标准：切合本项目实际情况，内容与要点相符、每个要点均有展开详细的阐述且能够适用于本项目的得12分；评审内容任意一项缺项扣6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①服务承诺②保障措施 评审标准：切合本项目实际情况，内容与要点相符、每个要点均有展开详细的阐述且能够适用于本项目的得5分；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①合理化建议②相应措施 评审标准：切合本项目实际情况，内容与要点相符、每个要点均有展开详细的阐述且能够适用于本项目的得5分；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①专业运营团队人数 评审标准：运营团队配备人数大于等于6人时得6分，每少一人扣1分，扣完为止。 ②人员资格 评审标准：项目团队人员参与过中国田协举办的马拉松竞赛组织培训并获得相关的证书，每提供一人得 2 分，最高得 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近三年（2022年8月1日至今）承担过1项类似田径赛事服务业绩得5分，每增加1项得5分，此项最高得分10分。 注：以合同签订时间为准，提供的业绩复印件须清晰可辨，复印模糊无法辨认的将不予评分，未提供不得分。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2、满足招标文件实质性要求且最终报价最低的投标人的价格为投标基准价，其价格分为满分10分。 3、投标报价得分=（投标基准价/最终投标报价）×10。 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