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版本号：SXKKSYFGS2025-03820250903002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三原县医院外科楼中央空调和洁净空调、消防中控系统管理委托第三方维保管理政府采购项目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SXKKSYFGS2025-038</w:t>
      </w:r>
      <w:r>
        <w:br/>
      </w:r>
      <w:r>
        <w:br/>
      </w:r>
      <w:r>
        <w:br/>
      </w:r>
    </w:p>
    <w:p>
      <w:pPr>
        <w:pStyle w:val="null3"/>
        <w:jc w:val="center"/>
        <w:outlineLvl w:val="2"/>
      </w:pPr>
      <w:r>
        <w:rPr>
          <w:rFonts w:ascii="仿宋_GB2312" w:hAnsi="仿宋_GB2312" w:cs="仿宋_GB2312" w:eastAsia="仿宋_GB2312"/>
          <w:sz w:val="28"/>
          <w:b/>
        </w:rPr>
        <w:t>三原县卫生健康局</w:t>
      </w:r>
    </w:p>
    <w:p>
      <w:pPr>
        <w:pStyle w:val="null3"/>
        <w:jc w:val="center"/>
        <w:outlineLvl w:val="2"/>
      </w:pPr>
      <w:r>
        <w:rPr>
          <w:rFonts w:ascii="仿宋_GB2312" w:hAnsi="仿宋_GB2312" w:cs="仿宋_GB2312" w:eastAsia="仿宋_GB2312"/>
          <w:sz w:val="28"/>
          <w:b/>
        </w:rPr>
        <w:t>陕西夸克工程造价咨询有限公司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陕西夸克工程造价咨询有限公司</w:t>
      </w:r>
      <w:r>
        <w:rPr>
          <w:rFonts w:ascii="仿宋_GB2312" w:hAnsi="仿宋_GB2312" w:cs="仿宋_GB2312" w:eastAsia="仿宋_GB2312"/>
        </w:rPr>
        <w:t>（以下简称“代理机构”）受</w:t>
      </w:r>
      <w:r>
        <w:rPr>
          <w:rFonts w:ascii="仿宋_GB2312" w:hAnsi="仿宋_GB2312" w:cs="仿宋_GB2312" w:eastAsia="仿宋_GB2312"/>
        </w:rPr>
        <w:t>三原县卫生健康局</w:t>
      </w:r>
      <w:r>
        <w:rPr>
          <w:rFonts w:ascii="仿宋_GB2312" w:hAnsi="仿宋_GB2312" w:cs="仿宋_GB2312" w:eastAsia="仿宋_GB2312"/>
        </w:rPr>
        <w:t>委托，拟对</w:t>
      </w:r>
      <w:r>
        <w:rPr>
          <w:rFonts w:ascii="仿宋_GB2312" w:hAnsi="仿宋_GB2312" w:cs="仿宋_GB2312" w:eastAsia="仿宋_GB2312"/>
        </w:rPr>
        <w:t>三原县医院外科楼中央空调和洁净空调、消防中控系统管理委托第三方维保管理政府采购项目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SXKKSYFGS2025-038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三原县医院外科楼中央空调和洁净空调、消防中控系统管理委托第三方维保管理政府采购项目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共分为两个标段，其中一标段：外科大楼中央空调和洁净空调系统包含整栋外科楼内的所有空调主设备和辅助设备、风机盘管、出风口、空调水管道、水泵、新风机组、冷却塔系统等辅材更换及保养，共计维保数量2481台/件/套，保证现场维护人员至少三名（具有相关资质），两名24小时值班负责运行，并详细记录更换及保养参数；二标段：医院消防中控室管理维护系统，聚焦医院消防中控室日常卫生清洁工作，旨在通过规范清洁流程，保障中控室环境整洁，为消防控制设备稳定运行提供基础环境支持。</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采购包1（三原县医院外科楼中央空调和洁净空调委托第三方维保管理政府采购项目）：属于专门面向中小企业采购。</w:t>
      </w:r>
    </w:p>
    <w:p>
      <w:pPr>
        <w:pStyle w:val="null3"/>
      </w:pPr>
      <w:r>
        <w:rPr>
          <w:rFonts w:ascii="仿宋_GB2312" w:hAnsi="仿宋_GB2312" w:cs="仿宋_GB2312" w:eastAsia="仿宋_GB2312"/>
        </w:rPr>
        <w:t>采购包2（三原县医院消防中控系统管理委托第三方维保管理政府采购项目）：属于专门面向null采购。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1、营业执照等主体资格证明文件：具有独立承担民事责任能力的法人、其他组织，并出具合法有效的营业执照或事业单位法人证书等国家规定的相关证明。</w:t>
      </w:r>
    </w:p>
    <w:p>
      <w:pPr>
        <w:pStyle w:val="null3"/>
      </w:pPr>
      <w:r>
        <w:rPr>
          <w:rFonts w:ascii="仿宋_GB2312" w:hAnsi="仿宋_GB2312" w:cs="仿宋_GB2312" w:eastAsia="仿宋_GB2312"/>
        </w:rPr>
        <w:t>2、财务状况报告：提供2023年度或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3、税收缴纳证明：提供2024年08月至今已缴纳的至少一个月的纳税证明或完税证明（任意税种），依法免税的单位应提供相关证明材料</w:t>
      </w:r>
    </w:p>
    <w:p>
      <w:pPr>
        <w:pStyle w:val="null3"/>
      </w:pPr>
      <w:r>
        <w:rPr>
          <w:rFonts w:ascii="仿宋_GB2312" w:hAnsi="仿宋_GB2312" w:cs="仿宋_GB2312" w:eastAsia="仿宋_GB2312"/>
        </w:rPr>
        <w:t>4、社会保障资金缴纳证明：提供2024年08月至今已缴存的至少一个月的社会保障资金缴存单据或社保机构开具的社会保险参保缴费情况证明，依法不需要缴纳社会保障资金的单位应提供相关证明材料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5、书面声明：提供具有履行本合同所必需的设备和专业技术能力的声明</w:t>
      </w:r>
    </w:p>
    <w:p>
      <w:pPr>
        <w:pStyle w:val="null3"/>
      </w:pPr>
      <w:r>
        <w:rPr>
          <w:rFonts w:ascii="仿宋_GB2312" w:hAnsi="仿宋_GB2312" w:cs="仿宋_GB2312" w:eastAsia="仿宋_GB2312"/>
        </w:rPr>
        <w:t>6、重大违法声明：供应商参加采购活动近3年内经营活动中没有重大违法记录声明</w:t>
      </w:r>
    </w:p>
    <w:p>
      <w:pPr>
        <w:pStyle w:val="null3"/>
      </w:pPr>
      <w:r>
        <w:rPr>
          <w:rFonts w:ascii="仿宋_GB2312" w:hAnsi="仿宋_GB2312" w:cs="仿宋_GB2312" w:eastAsia="仿宋_GB2312"/>
        </w:rPr>
        <w:t>7、控股管理关系：供应商负责人不得为同一人或者存在控股、管理关系</w:t>
      </w:r>
    </w:p>
    <w:p>
      <w:pPr>
        <w:pStyle w:val="null3"/>
      </w:pPr>
      <w:r>
        <w:rPr>
          <w:rFonts w:ascii="仿宋_GB2312" w:hAnsi="仿宋_GB2312" w:cs="仿宋_GB2312" w:eastAsia="仿宋_GB2312"/>
        </w:rPr>
        <w:t>8、信用记录：供应商被“信用中国”网站列入失信被执行人、重大税收违法案件当事人名单的,供应商被“中国政府采购网”网站列入政府采购严重违法失信名单的，不得参与本项目投标。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1、营业执照等主体资格证明文件：具有独立承担民事责任能力的法人、其他组织，并出具合法有效的营业执照或事业单位法人证书等国家规定的相关证明。</w:t>
      </w:r>
    </w:p>
    <w:p>
      <w:pPr>
        <w:pStyle w:val="null3"/>
      </w:pPr>
      <w:r>
        <w:rPr>
          <w:rFonts w:ascii="仿宋_GB2312" w:hAnsi="仿宋_GB2312" w:cs="仿宋_GB2312" w:eastAsia="仿宋_GB2312"/>
        </w:rPr>
        <w:t>2、财务状况报告：提供2023年度或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2024年8月至今已缴纳至少一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4、社会保障资金缴纳证明：提供2024年8月至今已缴存的至少一个月的社会保障资金缴存单据或社保机构开具的社会保险参保缴费情况证明，依法不需要缴纳社会保障资金的单位应提供相关证明材料。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采购活动前三年内在经营活动中没有重大违纪，以及未被列入失信被执行人、重大税收违法失信主体、政府采购活动严重违法失信行为记录名单的书面声明。本项目拒绝被列入失信被执行人、重大税收违法失信主体、政府采购活动严重违法失信行为的供应商参与。</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6、控股管理关系：提供直接控股和管理关系清单。若与其他供应商存在单位负责人为同一人或者存在直接控股、管理关系的，则投标无效。</w:t>
      </w:r>
    </w:p>
    <w:p>
      <w:pPr>
        <w:pStyle w:val="null3"/>
      </w:pPr>
      <w:r>
        <w:rPr>
          <w:rFonts w:ascii="仿宋_GB2312" w:hAnsi="仿宋_GB2312" w:cs="仿宋_GB2312" w:eastAsia="仿宋_GB2312"/>
        </w:rPr>
        <w:t>7、信用记录：应商被“信用中国”网站列入失信被执行人、重大税收违法案件当事人名单的,供应商被“中国政府采购网”网站列入政府采购严重违法失信名单的，不得参与本项目投标。</w:t>
      </w:r>
    </w:p>
    <w:p>
      <w:pPr>
        <w:pStyle w:val="null3"/>
      </w:pPr>
      <w:r>
        <w:rPr>
          <w:rFonts w:ascii="仿宋_GB2312" w:hAnsi="仿宋_GB2312" w:cs="仿宋_GB2312" w:eastAsia="仿宋_GB2312"/>
        </w:rPr>
        <w:t>8、承诺：提供具有履行合同所必需的设备和专业技术能力的承诺函。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三原县卫生健康局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三原县政府院内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三原县卫生健康局经办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02932102136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陕西夸克工程造价咨询有限公司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陕西省西安市未央区陕西省西安市未央区凤城南路萧家巷未央分局备勤公寓楼4单元401室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邬女士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13325304067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席先生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029-32268653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采购包1：402,000.00元</w:t>
            </w:r>
          </w:p>
          <w:p>
            <w:pPr>
              <w:pStyle w:val="null3"/>
            </w:pPr>
            <w:r>
              <w:rPr>
                <w:rFonts w:ascii="仿宋_GB2312" w:hAnsi="仿宋_GB2312" w:cs="仿宋_GB2312" w:eastAsia="仿宋_GB2312"/>
              </w:rPr>
              <w:t>采购包2：187,000.00元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 ，由成交供应商支付采购代理服务费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三原县卫生健康局</w:t>
      </w:r>
      <w:r>
        <w:rPr>
          <w:rFonts w:ascii="仿宋_GB2312" w:hAnsi="仿宋_GB2312" w:cs="仿宋_GB2312" w:eastAsia="仿宋_GB2312"/>
        </w:rPr>
        <w:t>和</w:t>
      </w:r>
      <w:r>
        <w:rPr>
          <w:rFonts w:ascii="仿宋_GB2312" w:hAnsi="仿宋_GB2312" w:cs="仿宋_GB2312" w:eastAsia="仿宋_GB2312"/>
        </w:rPr>
        <w:t>陕西夸克工程造价咨询有限公司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三原县卫生健康局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陕西夸克工程造价咨询有限公司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三原县卫生健康局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陕西夸克工程造价咨询有限公司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符合国家相关标准及采购文件要求。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符合国家相关标准及采购文件要求。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陕西夸克工程造价咨询有限公司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陕西夸克工程造价咨询有限公司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陕西夸克工程造价咨询有限公司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联系人：邬女士</w:t>
      </w:r>
    </w:p>
    <w:p>
      <w:pPr>
        <w:pStyle w:val="null3"/>
      </w:pPr>
      <w:r>
        <w:rPr>
          <w:rFonts w:ascii="仿宋_GB2312" w:hAnsi="仿宋_GB2312" w:cs="仿宋_GB2312" w:eastAsia="仿宋_GB2312"/>
        </w:rPr>
        <w:t>联系电话：13325304067</w:t>
      </w:r>
    </w:p>
    <w:p>
      <w:pPr>
        <w:pStyle w:val="null3"/>
      </w:pPr>
      <w:r>
        <w:rPr>
          <w:rFonts w:ascii="仿宋_GB2312" w:hAnsi="仿宋_GB2312" w:cs="仿宋_GB2312" w:eastAsia="仿宋_GB2312"/>
        </w:rPr>
        <w:t>地址：陕西省咸阳市三原县城关街道办事处冶金大道和平村华阳物流斜对面一号会议室</w:t>
      </w:r>
    </w:p>
    <w:p>
      <w:pPr>
        <w:pStyle w:val="null3"/>
      </w:pPr>
      <w:r>
        <w:rPr>
          <w:rFonts w:ascii="仿宋_GB2312" w:hAnsi="仿宋_GB2312" w:cs="仿宋_GB2312" w:eastAsia="仿宋_GB2312"/>
        </w:rPr>
        <w:t>邮编：713800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共分为两个标段，其中一标段：外科大楼中央空调和洁净空调系统包含整栋外科楼内的所有空调主设备和辅助设备、风机盘管、出风口、空调水管道、水泵、新风机组、冷却塔系统等辅材更换及保养，共计维保数量2481台/件/套，保证现场维护人员至少三名（具有相关资质），两名24小时值班负责运行，并详细记录更换及保养参数；二标段：医院消防中控室管理维护系统，聚焦医院消防中控室日常卫生清洁工作，旨在通过规范清洁流程，保障中控室环境整洁，为消防控制设备稳定运行提供基础环境支持。</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402,000.00</w:t>
      </w:r>
    </w:p>
    <w:p>
      <w:pPr>
        <w:pStyle w:val="null3"/>
      </w:pPr>
      <w:r>
        <w:rPr>
          <w:rFonts w:ascii="仿宋_GB2312" w:hAnsi="仿宋_GB2312" w:cs="仿宋_GB2312" w:eastAsia="仿宋_GB2312"/>
        </w:rPr>
        <w:t>采购包最高限价（元）: 402,000.00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三原县医院外科楼中央空调和洁净空调委托第三方维保管理政府采购项目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187,000.00</w:t>
      </w:r>
    </w:p>
    <w:p>
      <w:pPr>
        <w:pStyle w:val="null3"/>
      </w:pPr>
      <w:r>
        <w:rPr>
          <w:rFonts w:ascii="仿宋_GB2312" w:hAnsi="仿宋_GB2312" w:cs="仿宋_GB2312" w:eastAsia="仿宋_GB2312"/>
        </w:rPr>
        <w:t>采购包最高限价（元）: 187,000.00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三原县医院消防中控系统管理委托第三方维保管理政府采购项目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187,000.00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标的名称：三原县医院外科楼中央空调和洁净空调委托第三方维保管理政府采购项目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jc w:val="left"/>
              <w:outlineLvl w:val="1"/>
            </w:pPr>
            <w:r>
              <w:rPr>
                <w:rFonts w:ascii="仿宋_GB2312" w:hAnsi="仿宋_GB2312" w:cs="仿宋_GB2312" w:eastAsia="仿宋_GB2312"/>
                <w:sz w:val="21"/>
                <w:b/>
              </w:rPr>
              <w:t>一、维保范围</w:t>
            </w:r>
          </w:p>
          <w:p>
            <w:pPr>
              <w:pStyle w:val="null3"/>
              <w:ind w:firstLine="420"/>
              <w:jc w:val="left"/>
            </w:pPr>
            <w:r>
              <w:rPr>
                <w:rFonts w:ascii="仿宋_GB2312" w:hAnsi="仿宋_GB2312" w:cs="仿宋_GB2312" w:eastAsia="仿宋_GB2312"/>
                <w:sz w:val="21"/>
              </w:rPr>
              <w:t>本次维保范围覆盖整栋外科楼，涉及的中央空调和洁净空调系统相关设备、辅助设施及辅材更换与保养工作，维保对象总数共计</w:t>
            </w:r>
            <w:r>
              <w:rPr>
                <w:rFonts w:ascii="仿宋_GB2312" w:hAnsi="仿宋_GB2312" w:cs="仿宋_GB2312" w:eastAsia="仿宋_GB2312"/>
                <w:sz w:val="21"/>
              </w:rPr>
              <w:t>2481 台 / 件 / 套，具体包含以下类别：</w:t>
            </w:r>
          </w:p>
          <w:p>
            <w:pPr>
              <w:pStyle w:val="null3"/>
              <w:ind w:left="360"/>
              <w:jc w:val="both"/>
            </w:pPr>
            <w:r>
              <w:rPr>
                <w:rFonts w:ascii="仿宋_GB2312" w:hAnsi="仿宋_GB2312" w:cs="仿宋_GB2312" w:eastAsia="仿宋_GB2312"/>
                <w:sz w:val="24"/>
                <w:b/>
              </w:rPr>
              <w:t>1.</w:t>
            </w:r>
            <w:r>
              <w:rPr>
                <w:rFonts w:ascii="仿宋_GB2312" w:hAnsi="仿宋_GB2312" w:cs="仿宋_GB2312" w:eastAsia="仿宋_GB2312"/>
                <w:sz w:val="21"/>
                <w:b/>
              </w:rPr>
              <w:t>核心空调设备</w:t>
            </w:r>
          </w:p>
          <w:p>
            <w:pPr>
              <w:pStyle w:val="null3"/>
              <w:ind w:firstLine="420"/>
              <w:jc w:val="left"/>
            </w:pPr>
            <w:r>
              <w:rPr>
                <w:rFonts w:ascii="仿宋_GB2312" w:hAnsi="仿宋_GB2312" w:cs="仿宋_GB2312" w:eastAsia="仿宋_GB2312"/>
                <w:sz w:val="21"/>
              </w:rPr>
              <w:t>涵盖外科楼内所有空调主设备，包括但不限于各类空调机组、新风机组等，确保主设备的稳定运行，为整栋楼宇的空调系统提供核心动力支撑，保障各区域温度、湿度等环境参数符合医疗场所使用要求。</w:t>
            </w:r>
          </w:p>
          <w:p>
            <w:pPr>
              <w:pStyle w:val="null3"/>
              <w:ind w:firstLine="420"/>
              <w:jc w:val="left"/>
            </w:pPr>
            <w:r>
              <w:rPr>
                <w:rFonts w:ascii="仿宋_GB2312" w:hAnsi="仿宋_GB2312" w:cs="仿宋_GB2312" w:eastAsia="仿宋_GB2312"/>
                <w:sz w:val="21"/>
              </w:rPr>
              <w:t>全面负责风机盘管的维护保养，对每一台风机盘管进行细致检查、清洁及必要的部件更换，确保其能正常实现局部区域的温度调节，为医护人员工作、患者休息及医疗操作提供适宜的局部环境。</w:t>
            </w:r>
          </w:p>
          <w:p>
            <w:pPr>
              <w:pStyle w:val="null3"/>
              <w:ind w:left="360"/>
              <w:jc w:val="both"/>
            </w:pPr>
            <w:r>
              <w:rPr>
                <w:rFonts w:ascii="仿宋_GB2312" w:hAnsi="仿宋_GB2312" w:cs="仿宋_GB2312" w:eastAsia="仿宋_GB2312"/>
                <w:sz w:val="24"/>
                <w:b/>
              </w:rPr>
              <w:t>2.</w:t>
            </w:r>
            <w:r>
              <w:rPr>
                <w:rFonts w:ascii="仿宋_GB2312" w:hAnsi="仿宋_GB2312" w:cs="仿宋_GB2312" w:eastAsia="仿宋_GB2312"/>
                <w:sz w:val="21"/>
                <w:b/>
              </w:rPr>
              <w:t>空气流通与净化相关设施</w:t>
            </w:r>
          </w:p>
          <w:p>
            <w:pPr>
              <w:pStyle w:val="null3"/>
              <w:ind w:firstLine="420"/>
              <w:jc w:val="left"/>
            </w:pPr>
            <w:r>
              <w:rPr>
                <w:rFonts w:ascii="仿宋_GB2312" w:hAnsi="仿宋_GB2312" w:cs="仿宋_GB2312" w:eastAsia="仿宋_GB2312"/>
                <w:sz w:val="21"/>
              </w:rPr>
              <w:t>对所有出风口进行定期检查、清洁，确保出风顺畅、无堵塞，且出风方向、出风量符合设计标准，避免因出风口问题影响室内空气分布及环境舒适度。</w:t>
            </w:r>
          </w:p>
          <w:p>
            <w:pPr>
              <w:pStyle w:val="null3"/>
              <w:ind w:firstLine="420"/>
              <w:jc w:val="left"/>
            </w:pPr>
            <w:r>
              <w:rPr>
                <w:rFonts w:ascii="仿宋_GB2312" w:hAnsi="仿宋_GB2312" w:cs="仿宋_GB2312" w:eastAsia="仿宋_GB2312"/>
                <w:sz w:val="21"/>
              </w:rPr>
              <w:t>维护洁净空调系统相关的净化设施，如各级过滤器等，按规范要求进行清洗或更换，保障洁净区域的空气洁净度，满足外科楼内手术室、治疗室等关键区域的净化需求。</w:t>
            </w:r>
          </w:p>
          <w:p>
            <w:pPr>
              <w:pStyle w:val="null3"/>
              <w:ind w:left="360"/>
              <w:jc w:val="both"/>
            </w:pPr>
            <w:r>
              <w:rPr>
                <w:rFonts w:ascii="仿宋_GB2312" w:hAnsi="仿宋_GB2312" w:cs="仿宋_GB2312" w:eastAsia="仿宋_GB2312"/>
                <w:sz w:val="24"/>
                <w:b/>
              </w:rPr>
              <w:t>3.</w:t>
            </w:r>
            <w:r>
              <w:rPr>
                <w:rFonts w:ascii="仿宋_GB2312" w:hAnsi="仿宋_GB2312" w:cs="仿宋_GB2312" w:eastAsia="仿宋_GB2312"/>
                <w:sz w:val="21"/>
                <w:b/>
              </w:rPr>
              <w:t>水循环系统设备与管路</w:t>
            </w:r>
          </w:p>
          <w:p>
            <w:pPr>
              <w:pStyle w:val="null3"/>
              <w:ind w:firstLine="420"/>
              <w:jc w:val="left"/>
            </w:pPr>
            <w:r>
              <w:rPr>
                <w:rFonts w:ascii="仿宋_GB2312" w:hAnsi="仿宋_GB2312" w:cs="仿宋_GB2312" w:eastAsia="仿宋_GB2312"/>
                <w:sz w:val="21"/>
              </w:rPr>
              <w:t>负责空调水管道的维护，定期检查管道有无泄漏、腐蚀情况，对管道进行必要的清洁、保温修复等工作，确保水循环系统的正常运行，保障空调系统的换热效率。</w:t>
            </w:r>
          </w:p>
          <w:p>
            <w:pPr>
              <w:pStyle w:val="null3"/>
              <w:ind w:firstLine="420"/>
              <w:jc w:val="left"/>
            </w:pPr>
            <w:r>
              <w:rPr>
                <w:rFonts w:ascii="仿宋_GB2312" w:hAnsi="仿宋_GB2312" w:cs="仿宋_GB2312" w:eastAsia="仿宋_GB2312"/>
                <w:sz w:val="21"/>
              </w:rPr>
              <w:t>对水泵进行全面保养，包括检查水泵运行状态、润滑情况、密封性能等，及时处理水泵运行过程中出现的异常问题，确保水泵能稳定、高效地为水循环系统提供动力。</w:t>
            </w:r>
          </w:p>
          <w:p>
            <w:pPr>
              <w:pStyle w:val="null3"/>
              <w:ind w:left="360"/>
              <w:jc w:val="both"/>
            </w:pPr>
            <w:r>
              <w:rPr>
                <w:rFonts w:ascii="仿宋_GB2312" w:hAnsi="仿宋_GB2312" w:cs="仿宋_GB2312" w:eastAsia="仿宋_GB2312"/>
                <w:sz w:val="24"/>
                <w:b/>
              </w:rPr>
              <w:t>4.</w:t>
            </w:r>
            <w:r>
              <w:rPr>
                <w:rFonts w:ascii="仿宋_GB2312" w:hAnsi="仿宋_GB2312" w:cs="仿宋_GB2312" w:eastAsia="仿宋_GB2312"/>
                <w:sz w:val="21"/>
                <w:b/>
              </w:rPr>
              <w:t>冷却系统设备</w:t>
            </w:r>
          </w:p>
          <w:p>
            <w:pPr>
              <w:pStyle w:val="null3"/>
              <w:ind w:firstLine="420"/>
              <w:jc w:val="left"/>
            </w:pPr>
            <w:r>
              <w:rPr>
                <w:rFonts w:ascii="仿宋_GB2312" w:hAnsi="仿宋_GB2312" w:cs="仿宋_GB2312" w:eastAsia="仿宋_GB2312"/>
                <w:sz w:val="21"/>
              </w:rPr>
              <w:t>维护冷却塔系统，定期对冷却塔进行清洁、检查，清理塔内杂物，检查冷却塔的散热部件、风机等是否正常工作，确保冷却塔能有效实现散热，保障空调系统的制冷效果。</w:t>
            </w:r>
          </w:p>
          <w:p>
            <w:pPr>
              <w:pStyle w:val="null3"/>
              <w:ind w:left="360"/>
              <w:jc w:val="both"/>
            </w:pPr>
            <w:r>
              <w:rPr>
                <w:rFonts w:ascii="仿宋_GB2312" w:hAnsi="仿宋_GB2312" w:cs="仿宋_GB2312" w:eastAsia="仿宋_GB2312"/>
                <w:sz w:val="24"/>
                <w:b/>
              </w:rPr>
              <w:t>5.</w:t>
            </w:r>
            <w:r>
              <w:rPr>
                <w:rFonts w:ascii="仿宋_GB2312" w:hAnsi="仿宋_GB2312" w:cs="仿宋_GB2312" w:eastAsia="仿宋_GB2312"/>
                <w:sz w:val="21"/>
                <w:b/>
              </w:rPr>
              <w:t>其他辅助设备与辅材更换</w:t>
            </w:r>
          </w:p>
          <w:p>
            <w:pPr>
              <w:pStyle w:val="null3"/>
              <w:ind w:firstLine="420"/>
              <w:jc w:val="left"/>
            </w:pPr>
            <w:r>
              <w:rPr>
                <w:rFonts w:ascii="仿宋_GB2312" w:hAnsi="仿宋_GB2312" w:cs="仿宋_GB2312" w:eastAsia="仿宋_GB2312"/>
                <w:sz w:val="21"/>
              </w:rPr>
              <w:t>涵盖外科楼中央空调和洁净空调系统运行所需的各类辅助设备，对这些设备进行定期巡检、维护，及时发现并解决设备潜在故障。</w:t>
            </w:r>
          </w:p>
          <w:p>
            <w:pPr>
              <w:pStyle w:val="null3"/>
              <w:ind w:firstLine="420"/>
              <w:jc w:val="left"/>
            </w:pPr>
            <w:r>
              <w:rPr>
                <w:rFonts w:ascii="仿宋_GB2312" w:hAnsi="仿宋_GB2312" w:cs="仿宋_GB2312" w:eastAsia="仿宋_GB2312"/>
                <w:sz w:val="21"/>
              </w:rPr>
              <w:t>根据设备运行需求及损耗情况，及时更换各类辅材，确保辅材质量符合相关标准，且与设备匹配，保障设备的正常运行及使用寿命。</w:t>
            </w:r>
          </w:p>
          <w:p>
            <w:pPr>
              <w:pStyle w:val="null3"/>
              <w:spacing w:before="105" w:after="105"/>
              <w:jc w:val="left"/>
              <w:outlineLvl w:val="1"/>
            </w:pPr>
            <w:r>
              <w:rPr>
                <w:rFonts w:ascii="仿宋_GB2312" w:hAnsi="仿宋_GB2312" w:cs="仿宋_GB2312" w:eastAsia="仿宋_GB2312"/>
                <w:sz w:val="21"/>
                <w:b/>
              </w:rPr>
              <w:t>二、服务要求</w:t>
            </w:r>
          </w:p>
          <w:p>
            <w:pPr>
              <w:pStyle w:val="null3"/>
              <w:ind w:left="360"/>
              <w:jc w:val="both"/>
            </w:pPr>
            <w:r>
              <w:rPr>
                <w:rFonts w:ascii="仿宋_GB2312" w:hAnsi="仿宋_GB2312" w:cs="仿宋_GB2312" w:eastAsia="仿宋_GB2312"/>
                <w:sz w:val="24"/>
                <w:b/>
              </w:rPr>
              <w:t>1.</w:t>
            </w:r>
            <w:r>
              <w:rPr>
                <w:rFonts w:ascii="仿宋_GB2312" w:hAnsi="仿宋_GB2312" w:cs="仿宋_GB2312" w:eastAsia="仿宋_GB2312"/>
                <w:sz w:val="21"/>
                <w:b/>
              </w:rPr>
              <w:t>人员配置与资质要求</w:t>
            </w:r>
          </w:p>
          <w:p>
            <w:pPr>
              <w:pStyle w:val="null3"/>
              <w:ind w:firstLine="420"/>
              <w:jc w:val="left"/>
            </w:pPr>
            <w:r>
              <w:rPr>
                <w:rFonts w:ascii="仿宋_GB2312" w:hAnsi="仿宋_GB2312" w:cs="仿宋_GB2312" w:eastAsia="仿宋_GB2312"/>
                <w:sz w:val="21"/>
              </w:rPr>
              <w:t>供应商需确保现场维护人员至少三名，且所有现场维护人员均需具备相关专业资质，如电工职业资格证书、制冷与空调作业证等（证书需在有效期内），具备扎实的专业知识和丰富的实践经验，能够熟练处理空调系统各类维护、保养及故障维修工作。</w:t>
            </w:r>
          </w:p>
          <w:p>
            <w:pPr>
              <w:pStyle w:val="null3"/>
              <w:ind w:firstLine="420"/>
              <w:jc w:val="left"/>
            </w:pPr>
            <w:r>
              <w:rPr>
                <w:rFonts w:ascii="仿宋_GB2312" w:hAnsi="仿宋_GB2312" w:cs="仿宋_GB2312" w:eastAsia="仿宋_GB2312"/>
                <w:sz w:val="21"/>
              </w:rPr>
              <w:t>实行人员值班制度，安排两名维护人员</w:t>
            </w:r>
            <w:r>
              <w:rPr>
                <w:rFonts w:ascii="仿宋_GB2312" w:hAnsi="仿宋_GB2312" w:cs="仿宋_GB2312" w:eastAsia="仿宋_GB2312"/>
                <w:sz w:val="21"/>
              </w:rPr>
              <w:t>24 小时值班，负责空调系统的日常运行监控、突发故障应急处理。值班人员需保持通讯畅通，确保在接到故障通知或发现运行异常时，能第一时间响应并开展工作，保障空调系统的连续稳定运行，避免因系统停运或故障影响外科楼正常医疗秩序。</w:t>
            </w:r>
          </w:p>
          <w:p>
            <w:pPr>
              <w:pStyle w:val="null3"/>
              <w:ind w:firstLine="420"/>
              <w:jc w:val="left"/>
            </w:pPr>
            <w:r>
              <w:rPr>
                <w:rFonts w:ascii="仿宋_GB2312" w:hAnsi="仿宋_GB2312" w:cs="仿宋_GB2312" w:eastAsia="仿宋_GB2312"/>
                <w:sz w:val="21"/>
              </w:rPr>
              <w:t>所有现场维护人员需接受医院组织的岗前培训及定期考核，熟悉医院规章制度、外科楼空调系统布局及运行特点，严格按照医院要求及相关规范开展工作，服从医院管理部门的调度与安排。</w:t>
            </w:r>
          </w:p>
          <w:p>
            <w:pPr>
              <w:pStyle w:val="null3"/>
              <w:ind w:left="360"/>
              <w:jc w:val="both"/>
            </w:pPr>
            <w:r>
              <w:rPr>
                <w:rFonts w:ascii="仿宋_GB2312" w:hAnsi="仿宋_GB2312" w:cs="仿宋_GB2312" w:eastAsia="仿宋_GB2312"/>
                <w:sz w:val="24"/>
                <w:b/>
              </w:rPr>
              <w:t>2.</w:t>
            </w:r>
            <w:r>
              <w:rPr>
                <w:rFonts w:ascii="仿宋_GB2312" w:hAnsi="仿宋_GB2312" w:cs="仿宋_GB2312" w:eastAsia="仿宋_GB2312"/>
                <w:sz w:val="21"/>
                <w:b/>
              </w:rPr>
              <w:t>维护与保养记录规范</w:t>
            </w:r>
          </w:p>
          <w:p>
            <w:pPr>
              <w:pStyle w:val="null3"/>
              <w:ind w:firstLine="420"/>
              <w:jc w:val="left"/>
            </w:pPr>
            <w:r>
              <w:rPr>
                <w:rFonts w:ascii="仿宋_GB2312" w:hAnsi="仿宋_GB2312" w:cs="仿宋_GB2312" w:eastAsia="仿宋_GB2312"/>
                <w:sz w:val="21"/>
              </w:rPr>
              <w:t>对所有设备的更换及保养工作进行详细记录，记录内容需全面、准确，包括但不限于设备名称、维护保养日期、维护保养内容、更换部件名称及型号（若有）、设备运行参数前后对比、维护保养人员姓名等信息。</w:t>
            </w:r>
          </w:p>
          <w:p>
            <w:pPr>
              <w:pStyle w:val="null3"/>
              <w:ind w:firstLine="420"/>
              <w:jc w:val="left"/>
            </w:pPr>
            <w:r>
              <w:rPr>
                <w:rFonts w:ascii="仿宋_GB2312" w:hAnsi="仿宋_GB2312" w:cs="仿宋_GB2312" w:eastAsia="仿宋_GB2312"/>
                <w:sz w:val="21"/>
              </w:rPr>
              <w:t>建立专门的记录档案，对每次维护保养记录进行分类整理、归档保存，确保记录的完整性和可追溯性。医院管理部门可随时查阅相关记录，供应商需积极配合提供。</w:t>
            </w:r>
          </w:p>
          <w:p>
            <w:pPr>
              <w:pStyle w:val="null3"/>
              <w:ind w:firstLine="420"/>
              <w:jc w:val="left"/>
            </w:pPr>
            <w:r>
              <w:rPr>
                <w:rFonts w:ascii="仿宋_GB2312" w:hAnsi="仿宋_GB2312" w:cs="仿宋_GB2312" w:eastAsia="仿宋_GB2312"/>
                <w:sz w:val="21"/>
              </w:rPr>
              <w:t>定期对维护保养记录进行汇总分析，根据记录数据评估设备运行状况、损耗规律，为后续维护保养计划的制定提供依据，提高维护保养工作的针对性和有效性。</w:t>
            </w:r>
          </w:p>
          <w:p>
            <w:pPr>
              <w:pStyle w:val="null3"/>
              <w:ind w:left="360"/>
              <w:jc w:val="both"/>
            </w:pPr>
            <w:r>
              <w:rPr>
                <w:rFonts w:ascii="仿宋_GB2312" w:hAnsi="仿宋_GB2312" w:cs="仿宋_GB2312" w:eastAsia="仿宋_GB2312"/>
                <w:sz w:val="24"/>
                <w:b/>
              </w:rPr>
              <w:t>3.</w:t>
            </w:r>
            <w:r>
              <w:rPr>
                <w:rFonts w:ascii="仿宋_GB2312" w:hAnsi="仿宋_GB2312" w:cs="仿宋_GB2312" w:eastAsia="仿宋_GB2312"/>
                <w:sz w:val="21"/>
                <w:b/>
              </w:rPr>
              <w:t>日常巡检与维护</w:t>
            </w:r>
          </w:p>
          <w:p>
            <w:pPr>
              <w:pStyle w:val="null3"/>
              <w:ind w:firstLine="420"/>
              <w:jc w:val="left"/>
            </w:pPr>
            <w:r>
              <w:rPr>
                <w:rFonts w:ascii="仿宋_GB2312" w:hAnsi="仿宋_GB2312" w:cs="仿宋_GB2312" w:eastAsia="仿宋_GB2312"/>
                <w:sz w:val="21"/>
              </w:rPr>
              <w:t>维护人员需制定详细的日常巡检计划，按计划对整栋外科楼的空调系统设备、管路等进行全面巡检，重点检查设备运行状态、参数是否正常，管路有无泄漏，设备有无异常声响、振动等情况。</w:t>
            </w:r>
          </w:p>
          <w:p>
            <w:pPr>
              <w:pStyle w:val="null3"/>
              <w:ind w:firstLine="420"/>
              <w:jc w:val="left"/>
            </w:pPr>
            <w:r>
              <w:rPr>
                <w:rFonts w:ascii="仿宋_GB2312" w:hAnsi="仿宋_GB2312" w:cs="仿宋_GB2312" w:eastAsia="仿宋_GB2312"/>
                <w:sz w:val="21"/>
              </w:rPr>
              <w:t>对巡检过程中发现的问题，需及时记录并制定整改措施，明确整改时限和责任人，确保问题得到及时解决。对于暂无法立即解决的重大问题，需及时上报医院管理部门及供应商总部，制定应急方案及长期解决方案，避免问题扩大化。</w:t>
            </w:r>
          </w:p>
          <w:p>
            <w:pPr>
              <w:pStyle w:val="null3"/>
              <w:ind w:firstLine="420"/>
              <w:jc w:val="left"/>
            </w:pPr>
            <w:r>
              <w:rPr>
                <w:rFonts w:ascii="仿宋_GB2312" w:hAnsi="仿宋_GB2312" w:cs="仿宋_GB2312" w:eastAsia="仿宋_GB2312"/>
                <w:sz w:val="21"/>
              </w:rPr>
              <w:t>按照规范要求定期对设备进行保养，如清洁设备内部及表面、检查设备部件紧固情况、添加润滑剂等，减少设备故障发生率，延长设备使用寿命。</w:t>
            </w:r>
          </w:p>
          <w:p>
            <w:pPr>
              <w:pStyle w:val="null3"/>
              <w:ind w:left="360"/>
              <w:jc w:val="both"/>
            </w:pPr>
            <w:r>
              <w:rPr>
                <w:rFonts w:ascii="仿宋_GB2312" w:hAnsi="仿宋_GB2312" w:cs="仿宋_GB2312" w:eastAsia="仿宋_GB2312"/>
                <w:sz w:val="24"/>
                <w:b/>
              </w:rPr>
              <w:t>4.</w:t>
            </w:r>
            <w:r>
              <w:rPr>
                <w:rFonts w:ascii="仿宋_GB2312" w:hAnsi="仿宋_GB2312" w:cs="仿宋_GB2312" w:eastAsia="仿宋_GB2312"/>
                <w:sz w:val="21"/>
                <w:b/>
              </w:rPr>
              <w:t>故障响应与处理</w:t>
            </w:r>
          </w:p>
          <w:p>
            <w:pPr>
              <w:pStyle w:val="null3"/>
              <w:ind w:firstLine="420"/>
              <w:jc w:val="left"/>
            </w:pPr>
            <w:r>
              <w:rPr>
                <w:rFonts w:ascii="仿宋_GB2312" w:hAnsi="仿宋_GB2312" w:cs="仿宋_GB2312" w:eastAsia="仿宋_GB2312"/>
                <w:sz w:val="21"/>
              </w:rPr>
              <w:t>建立高效的故障响应机制，无论是值班人员发现的故障，还是医院科室上报的故障，维护人员需在接到通知后立即响应，快速到达现场进行故障排查。</w:t>
            </w:r>
          </w:p>
          <w:p>
            <w:pPr>
              <w:pStyle w:val="null3"/>
              <w:ind w:firstLine="420"/>
              <w:jc w:val="left"/>
            </w:pPr>
            <w:r>
              <w:rPr>
                <w:rFonts w:ascii="仿宋_GB2312" w:hAnsi="仿宋_GB2312" w:cs="仿宋_GB2312" w:eastAsia="仿宋_GB2312"/>
                <w:sz w:val="21"/>
              </w:rPr>
              <w:t>根据故障类型及严重程度，制定合理的故障处理方案，组织专业人员进行维修。对于一般故障，需尽快修复，减少系统停运时间；对于复杂故障，需明确故障处理进度，及时向医院管理部门及使用科室反馈进展情况，确保各方了解故障处理动态。</w:t>
            </w:r>
          </w:p>
          <w:p>
            <w:pPr>
              <w:pStyle w:val="null3"/>
              <w:ind w:firstLine="420"/>
              <w:jc w:val="left"/>
            </w:pPr>
            <w:r>
              <w:rPr>
                <w:rFonts w:ascii="仿宋_GB2312" w:hAnsi="仿宋_GB2312" w:cs="仿宋_GB2312" w:eastAsia="仿宋_GB2312"/>
                <w:sz w:val="21"/>
              </w:rPr>
              <w:t>故障修复后，需对设备进行试运行，监测设备运行参数是否恢复正常，确保故障彻底解决。同时，详细记录故障原因、处理过程、修复结果等信息，纳入维护记录档案。</w:t>
            </w:r>
          </w:p>
          <w:p>
            <w:pPr>
              <w:pStyle w:val="null3"/>
              <w:ind w:left="360"/>
              <w:jc w:val="both"/>
            </w:pPr>
            <w:r>
              <w:rPr>
                <w:rFonts w:ascii="仿宋_GB2312" w:hAnsi="仿宋_GB2312" w:cs="仿宋_GB2312" w:eastAsia="仿宋_GB2312"/>
                <w:sz w:val="24"/>
                <w:b/>
              </w:rPr>
              <w:t>5.</w:t>
            </w:r>
            <w:r>
              <w:rPr>
                <w:rFonts w:ascii="仿宋_GB2312" w:hAnsi="仿宋_GB2312" w:cs="仿宋_GB2312" w:eastAsia="仿宋_GB2312"/>
                <w:sz w:val="21"/>
                <w:b/>
              </w:rPr>
              <w:t>合规性要求</w:t>
            </w:r>
          </w:p>
          <w:p>
            <w:pPr>
              <w:pStyle w:val="null3"/>
              <w:ind w:firstLine="420"/>
              <w:jc w:val="left"/>
            </w:pPr>
            <w:r>
              <w:rPr>
                <w:rFonts w:ascii="仿宋_GB2312" w:hAnsi="仿宋_GB2312" w:cs="仿宋_GB2312" w:eastAsia="仿宋_GB2312"/>
                <w:sz w:val="21"/>
              </w:rPr>
              <w:t>所有维护、保养及维修工作需严格遵守国家相关法律法规、行业标准及《医院洁净手术部建筑技术规范》等专业规范要求，确保工作流程合法合规，维护质量达标。</w:t>
            </w:r>
          </w:p>
          <w:p>
            <w:pPr>
              <w:pStyle w:val="null3"/>
              <w:ind w:firstLine="420"/>
              <w:jc w:val="left"/>
            </w:pPr>
            <w:r>
              <w:rPr>
                <w:rFonts w:ascii="仿宋_GB2312" w:hAnsi="仿宋_GB2312" w:cs="仿宋_GB2312" w:eastAsia="仿宋_GB2312"/>
                <w:sz w:val="21"/>
              </w:rPr>
              <w:t>供应商及维护人员需严格遵守医院的消防安全、感染防控等规章制度，在工作过程中采取必要的安全防护措施，避免引发安全事故或造成感染风险。</w:t>
            </w:r>
          </w:p>
          <w:p>
            <w:pPr>
              <w:pStyle w:val="null3"/>
              <w:ind w:firstLine="420"/>
              <w:jc w:val="left"/>
            </w:pPr>
            <w:r>
              <w:rPr>
                <w:rFonts w:ascii="仿宋_GB2312" w:hAnsi="仿宋_GB2312" w:cs="仿宋_GB2312" w:eastAsia="仿宋_GB2312"/>
                <w:sz w:val="21"/>
              </w:rPr>
              <w:t>涉及设备更换、辅材采购等工作，需确保所选用产品符合国家质量标准，具备相关合格证明文件，严禁使用假冒伪劣产品。</w:t>
            </w:r>
          </w:p>
          <w:p>
            <w:pPr>
              <w:pStyle w:val="null3"/>
              <w:spacing w:before="105" w:after="105"/>
              <w:jc w:val="left"/>
              <w:outlineLvl w:val="1"/>
            </w:pPr>
            <w:r>
              <w:rPr>
                <w:rFonts w:ascii="仿宋_GB2312" w:hAnsi="仿宋_GB2312" w:cs="仿宋_GB2312" w:eastAsia="仿宋_GB2312"/>
                <w:sz w:val="21"/>
                <w:b/>
              </w:rPr>
              <w:t>三、材料要求</w:t>
            </w:r>
          </w:p>
          <w:p>
            <w:pPr>
              <w:pStyle w:val="null3"/>
              <w:ind w:left="360"/>
              <w:jc w:val="both"/>
            </w:pPr>
            <w:r>
              <w:rPr>
                <w:rFonts w:ascii="仿宋_GB2312" w:hAnsi="仿宋_GB2312" w:cs="仿宋_GB2312" w:eastAsia="仿宋_GB2312"/>
                <w:sz w:val="24"/>
                <w:b/>
              </w:rPr>
              <w:t>1.</w:t>
            </w:r>
            <w:r>
              <w:rPr>
                <w:rFonts w:ascii="仿宋_GB2312" w:hAnsi="仿宋_GB2312" w:cs="仿宋_GB2312" w:eastAsia="仿宋_GB2312"/>
                <w:sz w:val="21"/>
                <w:b/>
              </w:rPr>
              <w:t>材料质量标准</w:t>
            </w:r>
          </w:p>
          <w:p>
            <w:pPr>
              <w:pStyle w:val="null3"/>
              <w:ind w:firstLine="420"/>
              <w:jc w:val="left"/>
            </w:pPr>
            <w:r>
              <w:rPr>
                <w:rFonts w:ascii="仿宋_GB2312" w:hAnsi="仿宋_GB2312" w:cs="仿宋_GB2312" w:eastAsia="仿宋_GB2312"/>
                <w:sz w:val="21"/>
              </w:rPr>
              <w:t>供应商提供的所有辅材、更换部件等材料，必须是合格的、未曾使用过的全新产品，质量符合国家相关标准及行业标准要求，且能与外科楼现有空调系统设备完美匹配，确保不影响设备的正常运行及性能发挥。</w:t>
            </w:r>
          </w:p>
          <w:p>
            <w:pPr>
              <w:pStyle w:val="null3"/>
              <w:ind w:firstLine="420"/>
              <w:jc w:val="left"/>
            </w:pPr>
            <w:r>
              <w:rPr>
                <w:rFonts w:ascii="仿宋_GB2312" w:hAnsi="仿宋_GB2312" w:cs="仿宋_GB2312" w:eastAsia="仿宋_GB2312"/>
                <w:sz w:val="21"/>
              </w:rPr>
              <w:t>对于国家规定实行生产许可证管理的材料，需提供有效的《全国工业产品生产许可证》；对于实施强制性产品认证的材料，需具备中国国家强制性产品认证证书（</w:t>
            </w:r>
            <w:r>
              <w:rPr>
                <w:rFonts w:ascii="仿宋_GB2312" w:hAnsi="仿宋_GB2312" w:cs="仿宋_GB2312" w:eastAsia="仿宋_GB2312"/>
                <w:sz w:val="21"/>
              </w:rPr>
              <w:t>3C 认证），确保材料来源合法、质量可靠。</w:t>
            </w:r>
          </w:p>
          <w:p>
            <w:pPr>
              <w:pStyle w:val="null3"/>
              <w:ind w:left="360"/>
              <w:jc w:val="both"/>
            </w:pPr>
            <w:r>
              <w:rPr>
                <w:rFonts w:ascii="仿宋_GB2312" w:hAnsi="仿宋_GB2312" w:cs="仿宋_GB2312" w:eastAsia="仿宋_GB2312"/>
                <w:sz w:val="24"/>
                <w:b/>
              </w:rPr>
              <w:t>2.</w:t>
            </w:r>
            <w:r>
              <w:rPr>
                <w:rFonts w:ascii="仿宋_GB2312" w:hAnsi="仿宋_GB2312" w:cs="仿宋_GB2312" w:eastAsia="仿宋_GB2312"/>
                <w:sz w:val="21"/>
                <w:b/>
              </w:rPr>
              <w:t>材料供应与储备</w:t>
            </w:r>
          </w:p>
          <w:p>
            <w:pPr>
              <w:pStyle w:val="null3"/>
              <w:ind w:firstLine="420"/>
              <w:jc w:val="left"/>
            </w:pPr>
            <w:r>
              <w:rPr>
                <w:rFonts w:ascii="仿宋_GB2312" w:hAnsi="仿宋_GB2312" w:cs="仿宋_GB2312" w:eastAsia="仿宋_GB2312"/>
                <w:sz w:val="21"/>
              </w:rPr>
              <w:t>供应商需根据外科楼空调系统设备数量、维护需求及材料损耗情况，建立合理的材料储备机制，确保常用辅材、易损部件有充足的库存，能够满足日常维护及突发故障维修的材料需求，避免因材料短缺导致维护工作延误。</w:t>
            </w:r>
          </w:p>
          <w:p>
            <w:pPr>
              <w:pStyle w:val="null3"/>
              <w:ind w:firstLine="420"/>
              <w:jc w:val="left"/>
            </w:pPr>
            <w:r>
              <w:rPr>
                <w:rFonts w:ascii="仿宋_GB2312" w:hAnsi="仿宋_GB2312" w:cs="仿宋_GB2312" w:eastAsia="仿宋_GB2312"/>
                <w:sz w:val="21"/>
              </w:rPr>
              <w:t>按照医院要求及维护工作安排，及时供应所需材料，确保材料按时送达指定地点。在材料供应过程中，需提供材料质量证明文件，配合医院进行材料验收。</w:t>
            </w:r>
          </w:p>
          <w:p>
            <w:pPr>
              <w:pStyle w:val="null3"/>
              <w:ind w:left="360"/>
              <w:jc w:val="both"/>
            </w:pPr>
            <w:r>
              <w:rPr>
                <w:rFonts w:ascii="仿宋_GB2312" w:hAnsi="仿宋_GB2312" w:cs="仿宋_GB2312" w:eastAsia="仿宋_GB2312"/>
                <w:sz w:val="24"/>
                <w:b/>
              </w:rPr>
              <w:t>3.</w:t>
            </w:r>
            <w:r>
              <w:rPr>
                <w:rFonts w:ascii="仿宋_GB2312" w:hAnsi="仿宋_GB2312" w:cs="仿宋_GB2312" w:eastAsia="仿宋_GB2312"/>
                <w:sz w:val="21"/>
                <w:b/>
              </w:rPr>
              <w:t>材料质量保障与退换</w:t>
            </w:r>
          </w:p>
          <w:p>
            <w:pPr>
              <w:pStyle w:val="null3"/>
              <w:ind w:firstLine="420"/>
              <w:jc w:val="left"/>
            </w:pPr>
            <w:r>
              <w:rPr>
                <w:rFonts w:ascii="仿宋_GB2312" w:hAnsi="仿宋_GB2312" w:cs="仿宋_GB2312" w:eastAsia="仿宋_GB2312"/>
                <w:sz w:val="21"/>
              </w:rPr>
              <w:t>供应商需对所提供材料的质量负责，若材料在使用过程中出现质量问题，如性能不达标、损坏等，供应商需无条件更换，并承担由此造成的相关损失及额外工作成本。</w:t>
            </w:r>
          </w:p>
          <w:p>
            <w:pPr>
              <w:pStyle w:val="null3"/>
              <w:ind w:firstLine="420"/>
              <w:jc w:val="left"/>
            </w:pPr>
            <w:r>
              <w:rPr>
                <w:rFonts w:ascii="仿宋_GB2312" w:hAnsi="仿宋_GB2312" w:cs="仿宋_GB2312" w:eastAsia="仿宋_GB2312"/>
                <w:sz w:val="21"/>
              </w:rPr>
              <w:t>医院在材料验收或使用过程中，如发现材料质量不符合要求，有权要求供应商更换或退货，供应商需在规定时间内完成更换或退货工作，确保维护工作不受影响。</w:t>
            </w:r>
          </w:p>
          <w:p>
            <w:pPr>
              <w:pStyle w:val="null3"/>
              <w:ind w:firstLine="420"/>
              <w:jc w:val="left"/>
            </w:pPr>
            <w:r>
              <w:rPr>
                <w:rFonts w:ascii="仿宋_GB2312" w:hAnsi="仿宋_GB2312" w:cs="仿宋_GB2312" w:eastAsia="仿宋_GB2312"/>
                <w:sz w:val="21"/>
              </w:rPr>
              <w:t>严禁供应商提供二手廉价材料、返修材料或假冒伪劣材料，一经发现，医院有权终止合作，并追究供应商的相关责任。</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标的名称：三原县医院消防中控系统管理委托第三方维保管理政府采购项目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jc w:val="left"/>
              <w:outlineLvl w:val="1"/>
            </w:pPr>
            <w:r>
              <w:rPr>
                <w:rFonts w:ascii="仿宋_GB2312" w:hAnsi="仿宋_GB2312" w:cs="仿宋_GB2312" w:eastAsia="仿宋_GB2312"/>
                <w:sz w:val="24"/>
                <w:b/>
              </w:rPr>
              <w:t>一、技术参数</w:t>
            </w:r>
            <w:r>
              <w:br/>
            </w:r>
            <w:r>
              <w:rPr>
                <w:rFonts w:ascii="仿宋_GB2312" w:hAnsi="仿宋_GB2312" w:cs="仿宋_GB2312" w:eastAsia="仿宋_GB2312"/>
                <w:sz w:val="24"/>
                <w:b/>
              </w:rPr>
              <w:t xml:space="preserve"> 1. 清洁工具选择：地面清洁工具需具备防尘、吸水且不产生纤维脱落特性，避免清洁过程中造成二次扬尘；设备表面清洁工具采用质地柔软、无划痕的专用软布，确保不损伤设备外壳涂层及显示屏表面；清洁剂选用中性配方，无腐蚀性、无刺激性气味，且不含有可能影响设备电路的导电成分，避免对设备材质及运行环境造成损害。</w:t>
            </w:r>
            <w:r>
              <w:br/>
            </w:r>
            <w:r>
              <w:rPr>
                <w:rFonts w:ascii="仿宋_GB2312" w:hAnsi="仿宋_GB2312" w:cs="仿宋_GB2312" w:eastAsia="仿宋_GB2312"/>
                <w:sz w:val="24"/>
                <w:b/>
              </w:rPr>
              <w:t xml:space="preserve"> 2. 清洁操作规范：设备表面清洁需遵循“由上至下、由外至内”的操作路径，优先清洁设备非操作区域，再逐步清理控制台及按钮周边，规避触碰设备运行关键部件；地面清洁需沿固定方向推进，确保覆盖设备底部、机柜间隙等隐蔽区域，避免遗漏灰尘堆积死角；门窗及附属设施清洁时，需采用适配的清洁方式，保证玻璃透明无雾、墙面无污渍残留、通风口无灰尘堵塞。</w:t>
            </w:r>
            <w:r>
              <w:br/>
            </w:r>
            <w:r>
              <w:rPr>
                <w:rFonts w:ascii="仿宋_GB2312" w:hAnsi="仿宋_GB2312" w:cs="仿宋_GB2312" w:eastAsia="仿宋_GB2312"/>
                <w:sz w:val="24"/>
                <w:b/>
              </w:rPr>
              <w:t xml:space="preserve">  二、性能指标</w:t>
            </w:r>
            <w:r>
              <w:br/>
            </w:r>
            <w:r>
              <w:rPr>
                <w:rFonts w:ascii="仿宋_GB2312" w:hAnsi="仿宋_GB2312" w:cs="仿宋_GB2312" w:eastAsia="仿宋_GB2312"/>
                <w:sz w:val="24"/>
                <w:b/>
              </w:rPr>
              <w:t xml:space="preserve"> 1. 清洁效果指标：清洁后中控室整体环境无可见灰尘、污渍及杂物，地面无明显印记且触感干爽；设备表面无指纹、水渍及灰尘附着，显示屏透光性良好，无清洁痕迹；附属设施表面色泽均匀，无清洁试剂残留痕迹，通风口通风顺畅无阻塞，照明灯具表面洁净无影响亮度的遮挡物。</w:t>
            </w:r>
            <w:r>
              <w:br/>
            </w:r>
            <w:r>
              <w:rPr>
                <w:rFonts w:ascii="仿宋_GB2312" w:hAnsi="仿宋_GB2312" w:cs="仿宋_GB2312" w:eastAsia="仿宋_GB2312"/>
                <w:sz w:val="24"/>
                <w:b/>
              </w:rPr>
              <w:t xml:space="preserve"> 2. 安全保障指标：清洁过程中不影响消防中控设备正常运行，无因清洁操作导致的设备报警、停机或功能异常情况；清洁后设备周边无清洁工具、试剂等物品遗留，不阻碍应急情况下的人员操作及设备维护通道；清洁操作不会对中控室内环境温湿度造成异常波动，不破坏设备运行所需的稳定环境条件。</w:t>
            </w:r>
            <w:r>
              <w:br/>
            </w:r>
            <w:r>
              <w:rPr>
                <w:rFonts w:ascii="仿宋_GB2312" w:hAnsi="仿宋_GB2312" w:cs="仿宋_GB2312" w:eastAsia="仿宋_GB2312"/>
                <w:sz w:val="24"/>
                <w:b/>
              </w:rPr>
              <w:t xml:space="preserve"> 3. 持续性指标：清洁效果需保持稳定，在常规使用频率下，清洁后中控室环境及设备表面不易快速积累灰尘，可维持整洁状态直至下次清洁周期；清洁操作形成的规范流程可长期复用，不同清洁人员按标准操作时，能保持一致的清洁质量，无明显效果差异。</w:t>
            </w:r>
          </w:p>
          <w:p>
            <w:pPr>
              <w:pStyle w:val="null3"/>
              <w:ind w:firstLine="36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供应商根据单位自身情况及项目实际情况配置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供应商根据单位自身情况及项目实际情况配置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供应商根据单位自身情况及项目实际情况配置</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从合同合同签订之日起一年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合同签订之日起一年内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三原县医院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三原县医院</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项目按照计划工期完成后，达到设计要求并符合相关规定及验收标准，经甲方组织验收满足项目要求达到合格质量</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项目按照计划工期完成后，达到设计要求并符合相关规定及验收标准，经甲方组织验收满足项目要求达到合格质量</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合同到期后的最后一个月内付清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合同到期后的最后一个月内付清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在履行过程中发生的与之有关的任何争议，双方友好协商解决，协商不成的，由仲裁机构裁决</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在履行过程中发生的与之有关的任何争议，双方友好协商解决，协商不成的，由仲裁机构裁决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具有独立承担民事责任能力的法人、其他组织，并出具合法有效的营业执照或事业单位法人证书等国家规定的相关证明。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提供2024年08月至今已缴纳的至少一个月的纳税证明或完税证明（任意税种），依法免税的单位应提供相关证明材料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提供2024年08月至今已缴存的至少一个月的社会保障资金缴存单据或社保机构开具的社会保险参保缴费情况证明，依法不需要缴纳社会保障资金的单位应提供相关证明材料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重大违法声明</w:t>
            </w:r>
          </w:p>
        </w:tc>
        <w:tc>
          <w:tcPr>
            <w:tcW w:type="dxa" w:w="3322"/>
          </w:tcPr>
          <w:p>
            <w:pPr>
              <w:pStyle w:val="null3"/>
            </w:pPr>
            <w:r>
              <w:rPr>
                <w:rFonts w:ascii="仿宋_GB2312" w:hAnsi="仿宋_GB2312" w:cs="仿宋_GB2312" w:eastAsia="仿宋_GB2312"/>
              </w:rPr>
              <w:t>供应商参加采购活动近3年内经营活动中没有重大违法记录声明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供应商负责人不得为同一人或者存在控股、管理关系</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供应商被“信用中国”网站列入失信被执行人、重大税收违法案件当事人名单的,供应商被“中国政府采购网”网站列入政府采购严重违法失信名单的，不得参与本项目投标。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具有独立承担民事责任能力的法人、其他组织，并出具合法有效的营业执照或事业单位法人证书等国家规定的相关证明。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提供2024年8月至今已缴纳至少一个月的依法缴纳税款的相关凭据（时间以税款所属日期为准），凭据应有税务机关或代收机关的公章或业务专用章。依法免税或无须缴纳税款的供应商，应提供相关证明文件。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提供2024年8月至今已缴存的至少一个月的社会保障资金缴存单据或社保机构开具的社会保险参保缴费情况证明，依法不需要缴纳社会保障资金的单位应提供相关证明材料。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采购活动前三年内在经营活动中没有重大违纪，以及未被列入失信被执行人、重大税收违法失信主体、政府采购活动严重违法失信行为记录名单的书面声明。本项目拒绝被列入失信被执行人、重大税收违法失信主体、政府采购活动严重违法失信行为的供应商参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应商被“信用中国”网站列入失信被执行人、重大税收违法案件当事人名单的,供应商被“中国政府采购网”网站列入政府采购严重违法失信名单的，不得参与本项目投标。</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响应主体</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除明确允许供应商可以自行编写的外，磋商响应文件未按照磋商文件给定的格式编制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响应文件数量</w:t>
            </w:r>
          </w:p>
        </w:tc>
        <w:tc>
          <w:tcPr>
            <w:tcW w:type="dxa" w:w="3322"/>
          </w:tcPr>
          <w:p>
            <w:pPr>
              <w:pStyle w:val="null3"/>
            </w:pPr>
            <w:r>
              <w:rPr>
                <w:rFonts w:ascii="仿宋_GB2312" w:hAnsi="仿宋_GB2312" w:cs="仿宋_GB2312" w:eastAsia="仿宋_GB2312"/>
              </w:rPr>
              <w:t>磋商响应文件不符合磋商文件要求的数量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有效性</w:t>
            </w:r>
          </w:p>
        </w:tc>
        <w:tc>
          <w:tcPr>
            <w:tcW w:type="dxa" w:w="3322"/>
          </w:tcPr>
          <w:p>
            <w:pPr>
              <w:pStyle w:val="null3"/>
            </w:pPr>
            <w:r>
              <w:rPr>
                <w:rFonts w:ascii="仿宋_GB2312" w:hAnsi="仿宋_GB2312" w:cs="仿宋_GB2312" w:eastAsia="仿宋_GB2312"/>
              </w:rPr>
              <w:t>针对同一项目提交两份或多份内容不同的磋商响应文件，未书面声明哪一份是有效的或出现选择性报价的</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限价</w:t>
            </w:r>
          </w:p>
        </w:tc>
        <w:tc>
          <w:tcPr>
            <w:tcW w:type="dxa" w:w="3322"/>
          </w:tcPr>
          <w:p>
            <w:pPr>
              <w:pStyle w:val="null3"/>
            </w:pPr>
            <w:r>
              <w:rPr>
                <w:rFonts w:ascii="仿宋_GB2312" w:hAnsi="仿宋_GB2312" w:cs="仿宋_GB2312" w:eastAsia="仿宋_GB2312"/>
              </w:rPr>
              <w:t>磋商报价超过采购预算/限价</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磋商有效期不符合磋商文件的要求</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w:t>
            </w:r>
          </w:p>
        </w:tc>
        <w:tc>
          <w:tcPr>
            <w:tcW w:type="dxa" w:w="3322"/>
          </w:tcPr>
          <w:p>
            <w:pPr>
              <w:pStyle w:val="null3"/>
            </w:pPr>
            <w:r>
              <w:rPr>
                <w:rFonts w:ascii="仿宋_GB2312" w:hAnsi="仿宋_GB2312" w:cs="仿宋_GB2312" w:eastAsia="仿宋_GB2312"/>
              </w:rPr>
              <w:t>对磋商文件技术要求未作出明确响应，对不得偏离的要求是否作了实质性响应</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法律、法规和磋商文件规定的其他无效响应情形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响应主体</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除明确允许供应商可以自行编写的外，磋商响应文件未按照磋商文件给定的格式编制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响应文件数量</w:t>
            </w:r>
          </w:p>
        </w:tc>
        <w:tc>
          <w:tcPr>
            <w:tcW w:type="dxa" w:w="3322"/>
          </w:tcPr>
          <w:p>
            <w:pPr>
              <w:pStyle w:val="null3"/>
            </w:pPr>
            <w:r>
              <w:rPr>
                <w:rFonts w:ascii="仿宋_GB2312" w:hAnsi="仿宋_GB2312" w:cs="仿宋_GB2312" w:eastAsia="仿宋_GB2312"/>
              </w:rPr>
              <w:t>磋商响应文件不符合磋商文件要求的数量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有效性</w:t>
            </w:r>
          </w:p>
        </w:tc>
        <w:tc>
          <w:tcPr>
            <w:tcW w:type="dxa" w:w="3322"/>
          </w:tcPr>
          <w:p>
            <w:pPr>
              <w:pStyle w:val="null3"/>
            </w:pPr>
            <w:r>
              <w:rPr>
                <w:rFonts w:ascii="仿宋_GB2312" w:hAnsi="仿宋_GB2312" w:cs="仿宋_GB2312" w:eastAsia="仿宋_GB2312"/>
              </w:rPr>
              <w:t>针对同一项目提交两份或多份内容不同的磋商响应文件，未书面声明哪一份是有效的或出现选择性报价的</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限价</w:t>
            </w:r>
          </w:p>
        </w:tc>
        <w:tc>
          <w:tcPr>
            <w:tcW w:type="dxa" w:w="3322"/>
          </w:tcPr>
          <w:p>
            <w:pPr>
              <w:pStyle w:val="null3"/>
            </w:pPr>
            <w:r>
              <w:rPr>
                <w:rFonts w:ascii="仿宋_GB2312" w:hAnsi="仿宋_GB2312" w:cs="仿宋_GB2312" w:eastAsia="仿宋_GB2312"/>
              </w:rPr>
              <w:t>磋商报价超过采购预算/限价</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磋商有效期不符合磋商文件的要求</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w:t>
            </w:r>
          </w:p>
        </w:tc>
        <w:tc>
          <w:tcPr>
            <w:tcW w:type="dxa" w:w="3322"/>
          </w:tcPr>
          <w:p>
            <w:pPr>
              <w:pStyle w:val="null3"/>
            </w:pPr>
            <w:r>
              <w:rPr>
                <w:rFonts w:ascii="仿宋_GB2312" w:hAnsi="仿宋_GB2312" w:cs="仿宋_GB2312" w:eastAsia="仿宋_GB2312"/>
              </w:rPr>
              <w:t>对磋商文件技术要求未作出明确响应，对不得偏离的要求是否作了实质性响应</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法律、法规和磋商文件规定的其他无效响应情形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项目负责人资质</w:t>
            </w:r>
          </w:p>
        </w:tc>
        <w:tc>
          <w:tcPr>
            <w:tcW w:type="dxa" w:w="2492"/>
          </w:tcPr>
          <w:p>
            <w:pPr>
              <w:pStyle w:val="null3"/>
            </w:pPr>
            <w:r>
              <w:rPr>
                <w:rFonts w:ascii="仿宋_GB2312" w:hAnsi="仿宋_GB2312" w:cs="仿宋_GB2312" w:eastAsia="仿宋_GB2312"/>
              </w:rPr>
              <w:t>项目负责人具有有效的维修证书或者厂家培训证书的得2分。 针对本项目配备满足专业要求的设备维保人员、维保工具、维保人员专业程度及维保工具清单响应。 维保人员配备合理及维保设备配备齐全得2分； 维保人员配及维保设备配备基本齐全得1分；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维保方案</w:t>
            </w:r>
          </w:p>
        </w:tc>
        <w:tc>
          <w:tcPr>
            <w:tcW w:type="dxa" w:w="2492"/>
          </w:tcPr>
          <w:p>
            <w:pPr>
              <w:pStyle w:val="null3"/>
            </w:pPr>
            <w:r>
              <w:rPr>
                <w:rFonts w:ascii="仿宋_GB2312" w:hAnsi="仿宋_GB2312" w:cs="仿宋_GB2312" w:eastAsia="仿宋_GB2312"/>
              </w:rPr>
              <w:t>针对本项目提供的维保方案，内容包括但不限于①设备信息全面梳理②分阶段定期维护计划③精细化维护内容制定④应急故障处理预案⑤配件供应保障机制⑥维护效果评估体系⑦操作人员培训计划⑧维保工作持续改进机制等内容。方案内容详细完整、针对性强、可行性高，符合项目实际要求。每项满分2分，缺项不得分，每项内容存在缺陷，扣1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响应与处理效率</w:t>
            </w:r>
          </w:p>
        </w:tc>
        <w:tc>
          <w:tcPr>
            <w:tcW w:type="dxa" w:w="2492"/>
          </w:tcPr>
          <w:p>
            <w:pPr>
              <w:pStyle w:val="null3"/>
            </w:pPr>
            <w:r>
              <w:rPr>
                <w:rFonts w:ascii="仿宋_GB2312" w:hAnsi="仿宋_GB2312" w:cs="仿宋_GB2312" w:eastAsia="仿宋_GB2312"/>
              </w:rPr>
              <w:t>针对本项目提供的响应与处理效率，内容包括但不限于①多级响应时效承诺②快速到场机制③故障分级处理流程④远程技术支持前置⑤应急通信保障方案⑥故障处理进度实时反馈⑦维修工具与备件随车携带⑧响应与处理效率考核机制等内容。方案内容详细完整、针对性强、可行性高，符合项目实际要求。每项满分2分，缺项不得分，每项内容存在缺陷，扣1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重点难点分析和合理化建议</w:t>
            </w:r>
          </w:p>
        </w:tc>
        <w:tc>
          <w:tcPr>
            <w:tcW w:type="dxa" w:w="2492"/>
          </w:tcPr>
          <w:p>
            <w:pPr>
              <w:pStyle w:val="null3"/>
            </w:pPr>
            <w:r>
              <w:rPr>
                <w:rFonts w:ascii="仿宋_GB2312" w:hAnsi="仿宋_GB2312" w:cs="仿宋_GB2312" w:eastAsia="仿宋_GB2312"/>
              </w:rPr>
              <w:t>针对本项目提供有①重点分析②难点分析③针对所提出的重点、难点有相应的解决方案④针对本项目服务内容及特点提出的合理化建议。每项满分2分，缺项不得分，每项内容存在缺陷，扣1分。缺陷是指内容不合理、虽有内容但不完善、内容表述前后不一致、套用其他项目方案或与项目需求不匹配及其他不利于项目实施。</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项目质量保障体系</w:t>
            </w:r>
          </w:p>
        </w:tc>
        <w:tc>
          <w:tcPr>
            <w:tcW w:type="dxa" w:w="2492"/>
          </w:tcPr>
          <w:p>
            <w:pPr>
              <w:pStyle w:val="null3"/>
            </w:pPr>
            <w:r>
              <w:rPr>
                <w:rFonts w:ascii="仿宋_GB2312" w:hAnsi="仿宋_GB2312" w:cs="仿宋_GB2312" w:eastAsia="仿宋_GB2312"/>
              </w:rPr>
              <w:t>针对本项目提供的项目质量保障体系，内容包括但不限于①质量目标②质量控制体系③内部审核制度④外部监督机制⑤质量保障措施⑥多维度质量监督等内容。方案内容详细完整、针对性强、可行性高，符合项目实际要求。每项满分2分，缺项不得分，每项内容存在缺陷，扣1分。缺陷是指内容不合理、虽有内容但不完善、内 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维保保障措施</w:t>
            </w:r>
          </w:p>
        </w:tc>
        <w:tc>
          <w:tcPr>
            <w:tcW w:type="dxa" w:w="2492"/>
          </w:tcPr>
          <w:p>
            <w:pPr>
              <w:pStyle w:val="null3"/>
            </w:pPr>
            <w:r>
              <w:rPr>
                <w:rFonts w:ascii="仿宋_GB2312" w:hAnsi="仿宋_GB2312" w:cs="仿宋_GB2312" w:eastAsia="仿宋_GB2312"/>
              </w:rPr>
              <w:t>针对本项目提供的维保保障措施，内容包括但不限于①全链条配件管控②标准化维保工艺体系③多层级验收机制④维保后跟踪与回溯⑤专业维保团队保障⑥风险防控与应急响应⑦改进与奖惩激励等内容。方案内容详细完整、针对性强、可行性高，符合项目实际要求。每项满分2分，缺项不得分，每项内容存在缺陷，扣1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延伸服务实用性</w:t>
            </w:r>
          </w:p>
        </w:tc>
        <w:tc>
          <w:tcPr>
            <w:tcW w:type="dxa" w:w="2492"/>
          </w:tcPr>
          <w:p>
            <w:pPr>
              <w:pStyle w:val="null3"/>
            </w:pPr>
            <w:r>
              <w:rPr>
                <w:rFonts w:ascii="仿宋_GB2312" w:hAnsi="仿宋_GB2312" w:cs="仿宋_GB2312" w:eastAsia="仿宋_GB2312"/>
              </w:rPr>
              <w:t>针对本项目提供的项目质量保障体系，内容包括但不限于①设备全周期监测与预警②精细化维保档案支持管理决策等内容。方案内容详细完整、针对性强、可行性高，符合项目实际要求。每项满分2.5分，缺项不得分，每项内容存在缺陷，扣1.5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安全保障方案</w:t>
            </w:r>
          </w:p>
        </w:tc>
        <w:tc>
          <w:tcPr>
            <w:tcW w:type="dxa" w:w="2492"/>
          </w:tcPr>
          <w:p>
            <w:pPr>
              <w:pStyle w:val="null3"/>
            </w:pPr>
            <w:r>
              <w:rPr>
                <w:rFonts w:ascii="仿宋_GB2312" w:hAnsi="仿宋_GB2312" w:cs="仿宋_GB2312" w:eastAsia="仿宋_GB2312"/>
              </w:rPr>
              <w:t>针对本项目提供的项目安全保障方案，内容包括但不限于①患者信息与诊疗安全保障②现场作业安全管控等内容。方案内容详细完整、针对性强、可行性高，符合项目实际要求。每项满分2.5分，缺项不得分，每项内容存在缺陷，扣1.5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提供的项目售后服务，内容包括但不限于①服务内容②服务响应时间③服务期限④后续服务保障能力⑤服务承诺等内容。方案内容详细完整、针对性强、可行性高，符合项目实际要求。每项满分2分，缺项不得分，每项内容存在缺陷，扣1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关于印发《政府采购竞争性磋商采购方式管理暂行办法》的通知财库〔2014〕214号的有关规定：综合评分法中的价格分统一采用低价优先法计算，即满足磋商文件要求且最后报价最低的供应商的价格为磋商基准价，其价格分为满分。其他供应商的价格分统一按照下列公式计算： 磋商报价得分=（磋商基准价/最后磋商报价）×价格权值×100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 xml:space="preserve"> 针对本项目配备满足专业要求的维护人员、维护工具、维护人员专业程度及维保工具清单响应。 维护人员配备合理及维护设备配备齐全得4分； 维护人员配及维保设备配备基本齐全得2分；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维保方案</w:t>
            </w:r>
          </w:p>
        </w:tc>
        <w:tc>
          <w:tcPr>
            <w:tcW w:type="dxa" w:w="2492"/>
          </w:tcPr>
          <w:p>
            <w:pPr>
              <w:pStyle w:val="null3"/>
            </w:pPr>
            <w:r>
              <w:rPr>
                <w:rFonts w:ascii="仿宋_GB2312" w:hAnsi="仿宋_GB2312" w:cs="仿宋_GB2312" w:eastAsia="仿宋_GB2312"/>
              </w:rPr>
              <w:t>针对本项目提供的维保方案，内容包括但不限于①设备信息全面梳理②分阶段定期维护计划③精细化维护内容制定④应急故障处理预案⑤维护保障机制⑥维护效果评估体系⑦操作人员培训计划⑧维保工作持续改进机制等内容。方案内容详细完整、针对性强、可行性高，符合项目实际要求。每项满分2分，缺项不得分，每项内容存在缺陷，扣1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响应与处理效率</w:t>
            </w:r>
          </w:p>
        </w:tc>
        <w:tc>
          <w:tcPr>
            <w:tcW w:type="dxa" w:w="2492"/>
          </w:tcPr>
          <w:p>
            <w:pPr>
              <w:pStyle w:val="null3"/>
            </w:pPr>
            <w:r>
              <w:rPr>
                <w:rFonts w:ascii="仿宋_GB2312" w:hAnsi="仿宋_GB2312" w:cs="仿宋_GB2312" w:eastAsia="仿宋_GB2312"/>
              </w:rPr>
              <w:t>针对本项目提供的响应与处理效率，内容包括但不限于①多级响应时效承诺②快速到场机制③问题分级处理流程④远程技术支持前置⑤应急通信保障方案⑥问题处理进度实时反馈⑦维修工具与备件随车携带⑧响应与处理效率考核机制等内容。方案内容详细完整、针对性强、可行性高，符合项目实际要求。每项满分2分，缺项不得分，每项内容存在缺陷，扣1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重点难点分析和合理化建议</w:t>
            </w:r>
          </w:p>
        </w:tc>
        <w:tc>
          <w:tcPr>
            <w:tcW w:type="dxa" w:w="2492"/>
          </w:tcPr>
          <w:p>
            <w:pPr>
              <w:pStyle w:val="null3"/>
            </w:pPr>
            <w:r>
              <w:rPr>
                <w:rFonts w:ascii="仿宋_GB2312" w:hAnsi="仿宋_GB2312" w:cs="仿宋_GB2312" w:eastAsia="仿宋_GB2312"/>
              </w:rPr>
              <w:t>针对本项目提供有①重点分析②难点分析③针对所提出的重点、难点有相应的解决方案④针对本项目服务内容及特点提出的合理化建议。每项满分2分，缺项不得分，每项内容存在缺陷，扣1分。缺陷是指内容不合理、虽有内容但不完善、内容表述前后不一致、套用其他项目方案或与项目需求不匹配及其他不利于项目实施。</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项目质量保障体系</w:t>
            </w:r>
          </w:p>
        </w:tc>
        <w:tc>
          <w:tcPr>
            <w:tcW w:type="dxa" w:w="2492"/>
          </w:tcPr>
          <w:p>
            <w:pPr>
              <w:pStyle w:val="null3"/>
            </w:pPr>
            <w:r>
              <w:rPr>
                <w:rFonts w:ascii="仿宋_GB2312" w:hAnsi="仿宋_GB2312" w:cs="仿宋_GB2312" w:eastAsia="仿宋_GB2312"/>
              </w:rPr>
              <w:t>针对本项目提供的项目质量保障体系，内容包括但不限于①质量目标②质量控制体系③内部审核制度④外部监督机制⑤质量保障措施⑥多维度质量监督等内容。方案内容详细完整、针对性强、可行性高，符合项目实际要求。每项满分2分，缺项不得分，每项内容存在缺陷，扣1分。缺陷是指内容不合理、虽有内容但不完善、内 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维保保障措施</w:t>
            </w:r>
          </w:p>
        </w:tc>
        <w:tc>
          <w:tcPr>
            <w:tcW w:type="dxa" w:w="2492"/>
          </w:tcPr>
          <w:p>
            <w:pPr>
              <w:pStyle w:val="null3"/>
            </w:pPr>
            <w:r>
              <w:rPr>
                <w:rFonts w:ascii="仿宋_GB2312" w:hAnsi="仿宋_GB2312" w:cs="仿宋_GB2312" w:eastAsia="仿宋_GB2312"/>
              </w:rPr>
              <w:t>针对本项目提供的维保保障措施，内容包括但不限于①全链条配件管控②标准化维保工艺体系③多层级验收机制④维保后跟踪与回溯⑤专业维保团队保障⑥风险防控与应急响应⑦改进与奖惩激励等内容。方案内容详细完整、针对性强、可行性高，符合项目实际要求。每项满分2分，缺项不得分，每项内容存在缺陷，扣1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延伸服务实用性</w:t>
            </w:r>
          </w:p>
        </w:tc>
        <w:tc>
          <w:tcPr>
            <w:tcW w:type="dxa" w:w="2492"/>
          </w:tcPr>
          <w:p>
            <w:pPr>
              <w:pStyle w:val="null3"/>
            </w:pPr>
            <w:r>
              <w:rPr>
                <w:rFonts w:ascii="仿宋_GB2312" w:hAnsi="仿宋_GB2312" w:cs="仿宋_GB2312" w:eastAsia="仿宋_GB2312"/>
              </w:rPr>
              <w:t>针对本项目提供的项目质量保障体系，内容包括但不限于①设备全周期监测与预警②精细化维保档案支持管理决策等内容。方案内容详细完整、针对性强、可行性高，符合项目实际要求。每项满分2.5分，缺项不得分，每项内容存在缺陷，扣1.5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安全保障方案</w:t>
            </w:r>
          </w:p>
        </w:tc>
        <w:tc>
          <w:tcPr>
            <w:tcW w:type="dxa" w:w="2492"/>
          </w:tcPr>
          <w:p>
            <w:pPr>
              <w:pStyle w:val="null3"/>
            </w:pPr>
            <w:r>
              <w:rPr>
                <w:rFonts w:ascii="仿宋_GB2312" w:hAnsi="仿宋_GB2312" w:cs="仿宋_GB2312" w:eastAsia="仿宋_GB2312"/>
              </w:rPr>
              <w:t>针对本项目提供的项目安全保障方案，内容包括但不限于①患者信息与诊疗安全保障②现场作业安全管控等内容。方案内容详细完整、针对性强、可行性高，符合项目实际要求。每项满分2.5分，缺项不得分，每项内容存在缺陷，扣1.5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提供的项目售后服务，内容包括但不限于①服务内容②服务响应时间③服务期限④后续服务保障能力⑤服务承诺等内容。方案内容详细完整、针对性强、可行性高，符合项目实际要求。每项满分2分，缺项不得分，每项内容存在缺陷，扣1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关于印发《政府采购竞争性磋商采购方式管理暂行办法》的通知财库〔2014〕214号的有关规定：综合评分法中的价格分统一采用低价优先法计算，即满足磋商文件要求且最后报价最低的供应商的价格为磋商基准价，其价格分为满分。其他供应商的价格分统一按照下列公式计算： 磋商报价得分=（磋商基准价/最后磋商报价）×价格权值×100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