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版本号：JYBL2025-01520250806001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三原县医院医共体妇幼分院（三原县妇幼保健院）病房及医疗专项改造项目专业深化服务费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JYBL2025-015</w:t>
      </w:r>
      <w:r>
        <w:br/>
      </w:r>
      <w:r>
        <w:br/>
      </w:r>
      <w:r>
        <w:br/>
      </w:r>
    </w:p>
    <w:p>
      <w:pPr>
        <w:pStyle w:val="null3"/>
        <w:jc w:val="center"/>
        <w:outlineLvl w:val="2"/>
      </w:pPr>
      <w:r>
        <w:rPr>
          <w:rFonts w:ascii="仿宋_GB2312" w:hAnsi="仿宋_GB2312" w:cs="仿宋_GB2312" w:eastAsia="仿宋_GB2312"/>
          <w:sz w:val="28"/>
          <w:b/>
        </w:rPr>
        <w:t>三原县妇幼保健计划生育服务中心（三原县妇幼保健院、三原县健康教育中心）</w:t>
      </w:r>
    </w:p>
    <w:p>
      <w:pPr>
        <w:pStyle w:val="null3"/>
        <w:jc w:val="center"/>
        <w:outlineLvl w:val="2"/>
      </w:pPr>
      <w:r>
        <w:rPr>
          <w:rFonts w:ascii="仿宋_GB2312" w:hAnsi="仿宋_GB2312" w:cs="仿宋_GB2312" w:eastAsia="仿宋_GB2312"/>
          <w:sz w:val="28"/>
          <w:b/>
        </w:rPr>
        <w:t>陕西金扬博朗项目管理有限公司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陕西金扬博朗项目管理有限公司</w:t>
      </w:r>
      <w:r>
        <w:rPr>
          <w:rFonts w:ascii="仿宋_GB2312" w:hAnsi="仿宋_GB2312" w:cs="仿宋_GB2312" w:eastAsia="仿宋_GB2312"/>
        </w:rPr>
        <w:t>（以下简称“代理机构”）受</w:t>
      </w:r>
      <w:r>
        <w:rPr>
          <w:rFonts w:ascii="仿宋_GB2312" w:hAnsi="仿宋_GB2312" w:cs="仿宋_GB2312" w:eastAsia="仿宋_GB2312"/>
        </w:rPr>
        <w:t>三原县妇幼保健计划生育服务中心（三原县妇幼保健院、三原县健康教育中心）</w:t>
      </w:r>
      <w:r>
        <w:rPr>
          <w:rFonts w:ascii="仿宋_GB2312" w:hAnsi="仿宋_GB2312" w:cs="仿宋_GB2312" w:eastAsia="仿宋_GB2312"/>
        </w:rPr>
        <w:t>委托，拟对</w:t>
      </w:r>
      <w:r>
        <w:rPr>
          <w:rFonts w:ascii="仿宋_GB2312" w:hAnsi="仿宋_GB2312" w:cs="仿宋_GB2312" w:eastAsia="仿宋_GB2312"/>
        </w:rPr>
        <w:t>三原县医院医共体妇幼分院（三原县妇幼保健院）病房及医疗专项改造项目专业深化服务费</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JYBL2025-015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三原县医院医共体妇幼分院（三原县妇幼保健院）病房及医疗专项改造项目专业深化服务费</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对楼内手术室、医疗净化、医用气体、供应室、检验科等 专业科室进行二次深化设计，其他弱电系统、标识系统等专项设计；施工图设计、施工图预算编制。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1、授权委托书：供应商应授权合法的人员参加，其中法定代表人直接参加的，须出具法人身份证，并与营业执照上信息一致；法定代表人授权代表参加的，须出具法定代表人授权书及授权代表身份证；</w:t>
      </w:r>
    </w:p>
    <w:p>
      <w:pPr>
        <w:pStyle w:val="null3"/>
      </w:pPr>
      <w:r>
        <w:rPr>
          <w:rFonts w:ascii="仿宋_GB2312" w:hAnsi="仿宋_GB2312" w:cs="仿宋_GB2312" w:eastAsia="仿宋_GB2312"/>
        </w:rPr>
        <w:t>2、营业执照等主体资格证明文件：供应商须具有独立承担民事责任能力的法人、其他组织或自然人，并出具合法有效的营业执照或事业单位法人证书等国家规定的相关证明，自然人参与的提供其身份证明；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3、企业资格：供应商须具备工程设计资质行业资质（建筑行业）乙级及以上资质</w:t>
      </w:r>
    </w:p>
    <w:p>
      <w:pPr>
        <w:pStyle w:val="null3"/>
      </w:pPr>
      <w:r>
        <w:rPr>
          <w:rFonts w:ascii="仿宋_GB2312" w:hAnsi="仿宋_GB2312" w:cs="仿宋_GB2312" w:eastAsia="仿宋_GB2312"/>
        </w:rPr>
        <w:t>4、项目负责人：拟派项目负责人须具备相关专业高级及以上技术职称或国家一级注册建筑师资格，在本单位注册。</w:t>
      </w:r>
    </w:p>
    <w:p>
      <w:pPr>
        <w:pStyle w:val="null3"/>
      </w:pPr>
      <w:r>
        <w:rPr>
          <w:rFonts w:ascii="仿宋_GB2312" w:hAnsi="仿宋_GB2312" w:cs="仿宋_GB2312" w:eastAsia="仿宋_GB2312"/>
        </w:rPr>
        <w:t>5、财务状况证明：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6、税收缴纳证明：供应商提供谈判截止时间前6个月内至少已缴纳1个月的完税证明，完税证明上应有代收机构或税务机关的公章或业务专用章。依法免税或新成立的供应商应提供相关文件证明；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7、社会保障资金缴纳证明：供应商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8、供应商信誉要求：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9、书面声明：1、供应商参加本次采购活动3年内，在经营活动中没有重大违法记录以及未被列入失信被执行人、重大税收违法案件当事人名单、政府采购严重违法失信行为记录名单的书面声明。 2、具有履行合同所必需的设备和专业技术能力的承诺；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三原县妇幼保健计划生育服务中心（三原县妇幼保健院、三原县健康教育中心）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仓南路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13991000080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陕西金扬博朗项目管理有限公司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陕西省西咸新区沣西新城未来里大厦0811室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sxjybl321@163.com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029-38005678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由成交供应商在领取《成交通知书》前直接支付给采购代理单位。</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三原县妇幼保健计划生育服务中心（三原县妇幼保健院、三原县健康教育中心）</w:t>
      </w:r>
      <w:r>
        <w:rPr>
          <w:rFonts w:ascii="仿宋_GB2312" w:hAnsi="仿宋_GB2312" w:cs="仿宋_GB2312" w:eastAsia="仿宋_GB2312"/>
        </w:rPr>
        <w:t>和</w:t>
      </w:r>
      <w:r>
        <w:rPr>
          <w:rFonts w:ascii="仿宋_GB2312" w:hAnsi="仿宋_GB2312" w:cs="仿宋_GB2312" w:eastAsia="仿宋_GB2312"/>
        </w:rPr>
        <w:t>陕西金扬博朗项目管理有限公司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三原县妇幼保健计划生育服务中心（三原县妇幼保健院、三原县健康教育中心）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陕西金扬博朗项目管理有限公司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三原县妇幼保健计划生育服务中心（三原县妇幼保健院、三原县健康教育中心）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陕西金扬博朗项目管理有限公司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陕西金扬博朗项目管理有限公司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陕西金扬博朗项目管理有限公司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陕西金扬博朗项目管理有限公司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联系电话：029-38005678</w:t>
      </w:r>
    </w:p>
    <w:p>
      <w:pPr>
        <w:pStyle w:val="null3"/>
      </w:pPr>
      <w:r>
        <w:rPr>
          <w:rFonts w:ascii="仿宋_GB2312" w:hAnsi="仿宋_GB2312" w:cs="仿宋_GB2312" w:eastAsia="仿宋_GB2312"/>
        </w:rPr>
        <w:t>地址：陕西省西咸新区沣西新城未来里大厦0811室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妇幼保健院为三原县医院医共体妇幼分院，三原县妇幼保健院综合楼及附属设备用房主体工程已完工，为使综合楼尽快投入使用，需对《三原县医院医共体妇幼分院(三原县妇幼保健院)病房及医疗专项改造项目》施工图、预算书等进行编制；经我中心领导班子会议研究决定实施该项目前期施工图、预算书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1）采购标的名称：</w:t>
            </w: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三原县医院医共体妇幼分院</w:t>
            </w:r>
            <w:r>
              <w:rPr>
                <w:rFonts w:ascii="仿宋_GB2312" w:hAnsi="仿宋_GB2312" w:cs="仿宋_GB2312" w:eastAsia="仿宋_GB2312"/>
                <w:sz w:val="24"/>
                <w:u w:val="single"/>
              </w:rPr>
              <w:t>(三原县妇幼保健院)病房及医疗专项改造项目</w:t>
            </w:r>
            <w:r>
              <w:rPr>
                <w:rFonts w:ascii="仿宋_GB2312" w:hAnsi="仿宋_GB2312" w:cs="仿宋_GB2312" w:eastAsia="仿宋_GB2312"/>
                <w:sz w:val="24"/>
                <w:u w:val="single"/>
              </w:rPr>
              <w:t>专业深化服务费</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2）质量标准及技术要求：</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达到国家现行行业验收规范</w:t>
            </w:r>
            <w:r>
              <w:rPr>
                <w:rFonts w:ascii="仿宋_GB2312" w:hAnsi="仿宋_GB2312" w:cs="仿宋_GB2312" w:eastAsia="仿宋_GB2312"/>
                <w:sz w:val="24"/>
                <w:u w:val="single"/>
              </w:rPr>
              <w:t xml:space="preserve">“合格” 标准 </w:t>
            </w:r>
          </w:p>
          <w:p>
            <w:pPr>
              <w:pStyle w:val="null3"/>
              <w:ind w:left="960"/>
              <w:jc w:val="left"/>
            </w:pPr>
            <w:r>
              <w:rPr>
                <w:rFonts w:ascii="仿宋_GB2312" w:hAnsi="仿宋_GB2312" w:cs="仿宋_GB2312" w:eastAsia="仿宋_GB2312"/>
                <w:sz w:val="24"/>
              </w:rPr>
              <w:t>（</w:t>
            </w:r>
            <w:r>
              <w:rPr>
                <w:rFonts w:ascii="仿宋_GB2312" w:hAnsi="仿宋_GB2312" w:cs="仿宋_GB2312" w:eastAsia="仿宋_GB2312"/>
                <w:sz w:val="24"/>
              </w:rPr>
              <w:t>3）规格要求：</w:t>
            </w:r>
            <w:r>
              <w:rPr>
                <w:rFonts w:ascii="仿宋_GB2312" w:hAnsi="仿宋_GB2312" w:cs="仿宋_GB2312" w:eastAsia="仿宋_GB2312"/>
                <w:sz w:val="24"/>
                <w:u w:val="single"/>
              </w:rPr>
              <w:t>编制完整的综合</w:t>
            </w:r>
            <w:r>
              <w:rPr>
                <w:rFonts w:ascii="仿宋_GB2312" w:hAnsi="仿宋_GB2312" w:cs="仿宋_GB2312" w:eastAsia="仿宋_GB2312"/>
                <w:sz w:val="21"/>
                <w:u w:val="single"/>
              </w:rPr>
              <w:t>楼内手术室、医疗净化、医用气</w:t>
            </w:r>
            <w:r>
              <w:rPr>
                <w:rFonts w:ascii="仿宋_GB2312" w:hAnsi="仿宋_GB2312" w:cs="仿宋_GB2312" w:eastAsia="仿宋_GB2312"/>
                <w:sz w:val="21"/>
                <w:u w:val="single"/>
              </w:rPr>
              <w:t>体、供应室、检验科等</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专业科室进行二次深化设计，其他弱电系统、标识系统等专项设计</w:t>
            </w:r>
            <w:r>
              <w:rPr>
                <w:rFonts w:ascii="仿宋_GB2312" w:hAnsi="仿宋_GB2312" w:cs="仿宋_GB2312" w:eastAsia="仿宋_GB2312"/>
                <w:sz w:val="21"/>
                <w:u w:val="single"/>
              </w:rPr>
              <w:t>；施工图设计、施工图预算书。</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4）数量（规模）：</w:t>
            </w:r>
            <w:r>
              <w:rPr>
                <w:rFonts w:ascii="仿宋_GB2312" w:hAnsi="仿宋_GB2312" w:cs="仿宋_GB2312" w:eastAsia="仿宋_GB2312"/>
                <w:sz w:val="24"/>
                <w:u w:val="single"/>
              </w:rPr>
              <w:t>1项，</w:t>
            </w:r>
            <w:r>
              <w:rPr>
                <w:rFonts w:ascii="仿宋_GB2312" w:hAnsi="仿宋_GB2312" w:cs="仿宋_GB2312" w:eastAsia="仿宋_GB2312"/>
                <w:sz w:val="24"/>
                <w:u w:val="single"/>
              </w:rPr>
              <w:t>编制</w:t>
            </w:r>
            <w:r>
              <w:rPr>
                <w:rFonts w:ascii="仿宋_GB2312" w:hAnsi="仿宋_GB2312" w:cs="仿宋_GB2312" w:eastAsia="仿宋_GB2312"/>
                <w:sz w:val="24"/>
                <w:u w:val="single"/>
              </w:rPr>
              <w:t>完整的综合</w:t>
            </w:r>
            <w:r>
              <w:rPr>
                <w:rFonts w:ascii="仿宋_GB2312" w:hAnsi="仿宋_GB2312" w:cs="仿宋_GB2312" w:eastAsia="仿宋_GB2312"/>
                <w:sz w:val="21"/>
                <w:u w:val="single"/>
              </w:rPr>
              <w:t>楼内手术室、医疗净化、医用气</w:t>
            </w:r>
            <w:r>
              <w:rPr>
                <w:rFonts w:ascii="仿宋_GB2312" w:hAnsi="仿宋_GB2312" w:cs="仿宋_GB2312" w:eastAsia="仿宋_GB2312"/>
                <w:sz w:val="21"/>
                <w:u w:val="single"/>
              </w:rPr>
              <w:t>体、供应室、检验科等</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专业科室进行二次深化设计，其他弱电系统、标识系统等专项设计</w:t>
            </w:r>
            <w:r>
              <w:rPr>
                <w:rFonts w:ascii="仿宋_GB2312" w:hAnsi="仿宋_GB2312" w:cs="仿宋_GB2312" w:eastAsia="仿宋_GB2312"/>
                <w:sz w:val="21"/>
                <w:u w:val="single"/>
              </w:rPr>
              <w:t>；施工图设计、施工图预算书。</w:t>
            </w:r>
            <w:r>
              <w:rPr>
                <w:rFonts w:ascii="仿宋_GB2312" w:hAnsi="仿宋_GB2312" w:cs="仿宋_GB2312" w:eastAsia="仿宋_GB2312"/>
                <w:sz w:val="21"/>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项目负责人：拟派项目负责人须具备相关专业高级及以上技术职称或国家一级注册建筑师资格，在本单位注册。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三原县妇幼保健院</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执行国家法律、法规和标准等情况进行检查，由采购人组织验收 。</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本项目完成合同所有编制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本项目经过相关部门评审验收合格后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本合同在履行过程中发生的与本合同有关的任何争议，由甲、乙双方友好协商解决，协商不成的，由仲裁机构裁决。</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供应商应授权合法的人员参加，其中法定代表人直接参加的，须出具法人身份证，并与营业执照上信息一致；法定代表人授权代表参加的，须出具法定代表人授权书及授权代表身份证；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企业资格</w:t>
            </w:r>
          </w:p>
        </w:tc>
        <w:tc>
          <w:tcPr>
            <w:tcW w:type="dxa" w:w="3322"/>
          </w:tcPr>
          <w:p>
            <w:pPr>
              <w:pStyle w:val="null3"/>
            </w:pPr>
            <w:r>
              <w:rPr>
                <w:rFonts w:ascii="仿宋_GB2312" w:hAnsi="仿宋_GB2312" w:cs="仿宋_GB2312" w:eastAsia="仿宋_GB2312"/>
              </w:rPr>
              <w:t>供应商须具备工程设计资质行业资质（建筑行业）乙级及以上资质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拟派项目负责人须具备相关专业高级及以上技术职称或国家一级注册建筑师资格，在本单位注册。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供应商提供谈判截止时间前6个月内至少已缴纳1个月的完税证明，完税证明上应有代收机构或税务机关的公章或业务专用章。依法免税或新成立的供应商应提供相关文件证明；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1、供应商参加本次采购活动3年内，在经营活动中没有重大违法记录以及未被列入失信被执行人、重大税收违法案件当事人名单、政府采购严重违法失信行为记录名单的书面声明。 2、具有履行合同所必需的设备和专业技术能力的承诺；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竞争性谈判响应文件的完整性</w:t>
            </w:r>
          </w:p>
        </w:tc>
        <w:tc>
          <w:tcPr>
            <w:tcW w:type="dxa" w:w="3322"/>
          </w:tcPr>
          <w:p>
            <w:pPr>
              <w:pStyle w:val="null3"/>
            </w:pPr>
            <w:r>
              <w:rPr>
                <w:rFonts w:ascii="仿宋_GB2312" w:hAnsi="仿宋_GB2312" w:cs="仿宋_GB2312" w:eastAsia="仿宋_GB2312"/>
              </w:rPr>
              <w:t>竟争性谈判响应文件构成是否有重大缺项，是否按照竞争性谈判文件要求的格式编写竞争性谈判响应文件。</w:t>
            </w:r>
          </w:p>
        </w:tc>
        <w:tc>
          <w:tcPr>
            <w:tcW w:type="dxa" w:w="1661"/>
          </w:tcPr>
          <w:p>
            <w:pPr>
              <w:pStyle w:val="null3"/>
            </w:pPr>
            <w:r>
              <w:rPr>
                <w:rFonts w:ascii="仿宋_GB2312" w:hAnsi="仿宋_GB2312" w:cs="仿宋_GB2312" w:eastAsia="仿宋_GB2312"/>
              </w:rPr>
              <w:t>法定代表人身份证明及法定代表人授权委托书.docx 服务内容及服务邀请应答表 分项报价表 中小企业声明函 商务应答表 供应商应提交的相关资格证明材料 报价表 响应文件封面 项目管理机构人员表.docx 残疾人福利性单位声明函 服务方案 响应函 供应商类似业绩一览表.docx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竞争性谈判响应文件的有效性</w:t>
            </w:r>
          </w:p>
        </w:tc>
        <w:tc>
          <w:tcPr>
            <w:tcW w:type="dxa" w:w="3322"/>
          </w:tcPr>
          <w:p>
            <w:pPr>
              <w:pStyle w:val="null3"/>
            </w:pPr>
            <w:r>
              <w:rPr>
                <w:rFonts w:ascii="仿宋_GB2312" w:hAnsi="仿宋_GB2312" w:cs="仿宋_GB2312" w:eastAsia="仿宋_GB2312"/>
              </w:rPr>
              <w:t>竞争性谈判响应文件的签署、加盖印章是否合格、有效；提供的各种证明文件、数据、资料是否真实、有效。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法定代表人身份证明及法定代表人授权委托书.docx 分项报价表 项目管理机构人员表.docx 中小企业声明函 残疾人福利性单位声明函 供应商应提交的相关资格证明材料 报价表 响应函 供应商类似业绩一览表.docx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竞争性谈判响应文件的响应性</w:t>
            </w:r>
          </w:p>
        </w:tc>
        <w:tc>
          <w:tcPr>
            <w:tcW w:type="dxa" w:w="3322"/>
          </w:tcPr>
          <w:p>
            <w:pPr>
              <w:pStyle w:val="null3"/>
            </w:pPr>
            <w:r>
              <w:rPr>
                <w:rFonts w:ascii="仿宋_GB2312" w:hAnsi="仿宋_GB2312" w:cs="仿宋_GB2312" w:eastAsia="仿宋_GB2312"/>
              </w:rPr>
              <w:t>谈判有效期是否符合竞争性谈判文件要求；是否满足本次谈判的特殊要求；谈判方案是否有重大缺漏项；谈判产品的技术规格是否有重大偏离；谈判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响应文件封面 法定代表人身份证明及法定代表人授权委托书.docx 服务内容及服务邀请应答表 分项报价表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 中小企业声明函 残疾人福利性单位声明函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最终评审报价相同的，谈判小组优先推荐节能清单（非强制类）、环保清单内的产品，再按照综合技术指标优劣顺序推荐。</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详见附件：供应商类似业绩一览表.docx</w:t>
      </w:r>
    </w:p>
    <w:p>
      <w:pPr>
        <w:pStyle w:val="null3"/>
        <w:ind w:firstLine="960"/>
      </w:pPr>
      <w:r>
        <w:rPr>
          <w:rFonts w:ascii="仿宋_GB2312" w:hAnsi="仿宋_GB2312" w:cs="仿宋_GB2312" w:eastAsia="仿宋_GB2312"/>
        </w:rPr>
        <w:t>详见附件：项目管理机构人员表.docx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