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版本号：SXKKSYFGS2025-013-120250809001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陂西镇中学校园校舍提升改造及附属工程项目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SXKKSYFGS2025-013-1</w:t>
      </w:r>
      <w:r>
        <w:br/>
      </w:r>
      <w:r>
        <w:br/>
      </w:r>
      <w:r>
        <w:br/>
      </w:r>
    </w:p>
    <w:p>
      <w:pPr>
        <w:pStyle w:val="null3"/>
        <w:jc w:val="center"/>
        <w:outlineLvl w:val="2"/>
      </w:pPr>
      <w:r>
        <w:rPr>
          <w:rFonts w:ascii="仿宋_GB2312" w:hAnsi="仿宋_GB2312" w:cs="仿宋_GB2312" w:eastAsia="仿宋_GB2312"/>
          <w:sz w:val="28"/>
          <w:b/>
        </w:rPr>
        <w:t>三原县陂西镇中学</w:t>
      </w:r>
    </w:p>
    <w:p>
      <w:pPr>
        <w:pStyle w:val="null3"/>
        <w:jc w:val="center"/>
        <w:outlineLvl w:val="2"/>
      </w:pPr>
      <w:r>
        <w:rPr>
          <w:rFonts w:ascii="仿宋_GB2312" w:hAnsi="仿宋_GB2312" w:cs="仿宋_GB2312" w:eastAsia="仿宋_GB2312"/>
          <w:sz w:val="28"/>
          <w:b/>
        </w:rPr>
        <w:t>陕西夸克工程造价咨询有限公司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陕西夸克工程造价咨询有限公司</w:t>
      </w:r>
      <w:r>
        <w:rPr>
          <w:rFonts w:ascii="仿宋_GB2312" w:hAnsi="仿宋_GB2312" w:cs="仿宋_GB2312" w:eastAsia="仿宋_GB2312"/>
        </w:rPr>
        <w:t>（以下简称“代理机构”）受</w:t>
      </w:r>
      <w:r>
        <w:rPr>
          <w:rFonts w:ascii="仿宋_GB2312" w:hAnsi="仿宋_GB2312" w:cs="仿宋_GB2312" w:eastAsia="仿宋_GB2312"/>
        </w:rPr>
        <w:t>三原县陂西镇中学</w:t>
      </w:r>
      <w:r>
        <w:rPr>
          <w:rFonts w:ascii="仿宋_GB2312" w:hAnsi="仿宋_GB2312" w:cs="仿宋_GB2312" w:eastAsia="仿宋_GB2312"/>
        </w:rPr>
        <w:t>委托，拟对</w:t>
      </w:r>
      <w:r>
        <w:rPr>
          <w:rFonts w:ascii="仿宋_GB2312" w:hAnsi="仿宋_GB2312" w:cs="仿宋_GB2312" w:eastAsia="仿宋_GB2312"/>
        </w:rPr>
        <w:t>陂西镇中学校园校舍提升改造及附属工程项目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SXKKSYFGS2025-013-1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陂西镇中学校园校舍提升改造及附属工程项目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对门楼提升改造，两栋宿办楼及一栋办公楼外墙刷真石漆，在校园西侧建文化广场，铺设道路实现人车分流，更换教师车棚等。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采购包1（三原县陂西镇中学校园校舍提升改造及附属工程项目）：属于专门面向中小企业采购。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经理要求：拟派往本项目的项目经理必须为本企业注册的建造师，具备建筑工程专业二级及以上注册建造师执业资格和有效的安全生产考核合格证书(B证)，提供2024年06月至今至少一个月供应商为其缴纳的社会保险的证明材料（五险一金提供一项即可），且未担任其它在建工程的项目经理，无不良信用记录。</w:t>
      </w:r>
    </w:p>
    <w:p>
      <w:pPr>
        <w:pStyle w:val="null3"/>
      </w:pPr>
      <w:r>
        <w:rPr>
          <w:rFonts w:ascii="仿宋_GB2312" w:hAnsi="仿宋_GB2312" w:cs="仿宋_GB2312" w:eastAsia="仿宋_GB2312"/>
        </w:rPr>
        <w:t>2、公司资质要求：具备建设行政主管部门核发的建筑工程施工总承包三级（含三级）及以上资质，具备有效的安全生产许可证；</w:t>
      </w:r>
    </w:p>
    <w:p>
      <w:pPr>
        <w:pStyle w:val="null3"/>
      </w:pPr>
      <w:r>
        <w:rPr>
          <w:rFonts w:ascii="仿宋_GB2312" w:hAnsi="仿宋_GB2312" w:cs="仿宋_GB2312" w:eastAsia="仿宋_GB2312"/>
        </w:rPr>
        <w:t>3、财务状况报告：提供2023年度或2024年度经审计的财务报告（成立时间至提交响应文件截止时间不足一年的可提供成立后任意时段的资产负债表），或其开标前三个月内银行出具的资信证明，（以上两种形式的资料提供任何一种即可）</w:t>
      </w:r>
    </w:p>
    <w:p>
      <w:pPr>
        <w:pStyle w:val="null3"/>
      </w:pPr>
      <w:r>
        <w:rPr>
          <w:rFonts w:ascii="仿宋_GB2312" w:hAnsi="仿宋_GB2312" w:cs="仿宋_GB2312" w:eastAsia="仿宋_GB2312"/>
        </w:rPr>
        <w:t>4、税收缴纳证明：提供开标截止时间前6个月内至少已缴纳1个月的完税证明，完税证明上应有代收机构或税务机关的公章或业务专用章。依法免税或新成立的供应商应提供相关文件证明；</w:t>
      </w:r>
    </w:p>
    <w:p>
      <w:pPr>
        <w:pStyle w:val="null3"/>
      </w:pPr>
      <w:r>
        <w:rPr>
          <w:rFonts w:ascii="仿宋_GB2312" w:hAnsi="仿宋_GB2312" w:cs="仿宋_GB2312" w:eastAsia="仿宋_GB2312"/>
        </w:rPr>
        <w:t>5、社会保障资金缴纳证明：提供开标截止时间前6个月内至少已缴存1个月的社会保障资金缴存单据或社保机构开具的社会保险参保缴费情况证明，单据或证明上应有社保机构或代收机构的公章或业务专用章。依法不需要缴纳社会保障资金或新成立的供应商应提供相关文件证明；</w:t>
      </w:r>
    </w:p>
    <w:p>
      <w:pPr>
        <w:pStyle w:val="null3"/>
      </w:pPr>
      <w:r>
        <w:rPr>
          <w:rFonts w:ascii="仿宋_GB2312" w:hAnsi="仿宋_GB2312" w:cs="仿宋_GB2312" w:eastAsia="仿宋_GB2312"/>
        </w:rPr>
        <w:t>6、信用中国：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7、非联合体声明：本项目不接受联合体投标，单位负责人为同一人或者存在直接控股、管理关系的不同投标人，不得参加同一合同项下的政府采购活动（提供非联合体投标声明，包括控股管理声明）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三原县陂西镇中学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三原县陂西镇东木赵村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武秦辉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15291033528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陕西夸克工程造价咨询有限公司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陕西省西安市未央区萧家北巷文景尚品 12 楼 1218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邬女士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13325304067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采购包1：2,254,605.14元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代理服务费收费标准：代理服务费收费标准：代理服务费用收取对象：中标/成交供应商 代理服务费收费标准：代理服务费参考《国家计委关于印发&lt;招标代理服务收费管理暂行办法&gt;的通知》（计价格[2002]1980号）和国家发展改革委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三原县陂西镇中学</w:t>
      </w:r>
      <w:r>
        <w:rPr>
          <w:rFonts w:ascii="仿宋_GB2312" w:hAnsi="仿宋_GB2312" w:cs="仿宋_GB2312" w:eastAsia="仿宋_GB2312"/>
        </w:rPr>
        <w:t>和</w:t>
      </w:r>
      <w:r>
        <w:rPr>
          <w:rFonts w:ascii="仿宋_GB2312" w:hAnsi="仿宋_GB2312" w:cs="仿宋_GB2312" w:eastAsia="仿宋_GB2312"/>
        </w:rPr>
        <w:t>陕西夸克工程造价咨询有限公司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三原县陂西镇中学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陕西夸克工程造价咨询有限公司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三原县陂西镇中学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陕西夸克工程造价咨询有限公司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达到并实现预期绩效目标</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联系人：邬女士</w:t>
      </w:r>
    </w:p>
    <w:p>
      <w:pPr>
        <w:pStyle w:val="null3"/>
      </w:pPr>
      <w:r>
        <w:rPr>
          <w:rFonts w:ascii="仿宋_GB2312" w:hAnsi="仿宋_GB2312" w:cs="仿宋_GB2312" w:eastAsia="仿宋_GB2312"/>
        </w:rPr>
        <w:t>联系电话：13325304067</w:t>
      </w:r>
    </w:p>
    <w:p>
      <w:pPr>
        <w:pStyle w:val="null3"/>
      </w:pPr>
      <w:r>
        <w:rPr>
          <w:rFonts w:ascii="仿宋_GB2312" w:hAnsi="仿宋_GB2312" w:cs="仿宋_GB2312" w:eastAsia="仿宋_GB2312"/>
        </w:rPr>
        <w:t>地址：陕西省咸阳市三原县城关镇冶金大道和平村华阳物流斜对面一号会议室</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2,254,605.14</w:t>
      </w:r>
    </w:p>
    <w:p>
      <w:pPr>
        <w:pStyle w:val="null3"/>
      </w:pPr>
      <w:r>
        <w:rPr>
          <w:rFonts w:ascii="仿宋_GB2312" w:hAnsi="仿宋_GB2312" w:cs="仿宋_GB2312" w:eastAsia="仿宋_GB2312"/>
        </w:rPr>
        <w:t>采购包最高限价（元）: 2,254,605.14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三原县陂西镇中学校园校舍提升改造及附属工程项目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2,254,605.14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标的名称：三原县陂西镇中学校园校舍提升改造及附属工程项目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02"/>
              <w:gridCol w:w="2260"/>
              <w:gridCol w:w="93"/>
              <w:gridCol w:w="96"/>
            </w:tblGrid>
            <w:tr>
              <w:tc>
                <w:tcPr>
                  <w:tcW w:type="dxa" w:w="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智慧黑板</w:t>
                  </w:r>
                </w:p>
              </w:tc>
              <w:tc>
                <w:tcPr>
                  <w:tcW w:type="dxa" w:w="2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一、智慧黑板硬件参数</w:t>
                  </w:r>
                  <w:r>
                    <w:br/>
                  </w:r>
                  <w:r>
                    <w:rPr>
                      <w:rFonts w:ascii="仿宋_GB2312" w:hAnsi="仿宋_GB2312" w:cs="仿宋_GB2312" w:eastAsia="仿宋_GB2312"/>
                      <w:sz w:val="19"/>
                      <w:color w:val="000000"/>
                    </w:rPr>
                    <w:t xml:space="preserve"> 1、交互黑板整机采用三段式一体化设计，侧板由两块固定侧板组成。交互黑板长度≥4200mm，高度≥1200mm，厚度≤90mm。2、液晶显示尺寸≧86英寸，分辨率≧3840*2160，屏幕刷新率≧60Hz。主屏背板采用高强度镀锌钢板材质。3、主屏采用电容触控技术，在Windows与Android下均支持至少20点同时触控。4、前置≥2路前置USB3.0接口，≥1路USB Type-C（Type-C接口具备音频、视频、数据、触控、充电等功能，外接电脑可调用交互设备麦克风、音响、摄像头等数据）5、黑板提供RJ45接口≥1路，音频输入接口≥1路6、前整机表面采用全物理防眩光钢化玻璃，钢化玻璃采用低反射防眩光；7、前置接口按键不少于6个，可实现开关机、音量调节、护眼等功能。8、采用不低于2.2声道音箱，额定功率≥60W；9、具备前置笔槽设计，安装后可放置磁吸式书写笔、智能电子教鞭、粉笔、水性笔等10、采用物理减滤蓝光设计，无需其他操作即可实现防蓝光。支持色彩空间可选，包含标准模式和sRGB模式，在sRGB模式下可做到高色准△E≤1；11、光源稳定无频闪，摄像设备拍摄时画面无条纹闪烁，整机支持类纸质护眼模式显示，支持任意通道、软件下画面类纸质护眼模式实时调整，支持透明度、色温调节。12、设备功耗≤450W，待机功耗≤1W；13、★Android 主板具备大于等于四核CPU， 内存不小于2G，系统不低于13.0。14、支持极速开机模式，开机速度≤10S。15、★整机设备自带地震预警软件。支持在地震预警页面中获取位置，可以手动进行位置校准。16、★整机不低于支持蓝牙Bluetooth 5.4标准；17、★支持一根网线连接，即可实现 Windows和Android 双系统同时上网；无需外接无线网卡，内置双WiFi6无线网卡，Android 系统也可实现无线上网功能。18、具有悬浮菜单，在任意信号源通道下均可调用触摸悬浮菜单。悬浮菜单可进行自定义分组；19、设备双侧快捷键支持自定义功能，并可根据用户的实际使用需求设置为经典模式与极简模式，快捷键数量也随之变化。20、内嵌企业级网络接发模块，同时可作为网络连接与 AP 热点使用，有线和无线的双模可同时接入，多个用户同时连接使用，工作距离不低于12 米。21、支持手机端、电脑端与交互显示设备无线投屏，可将笔记本电脑、手机、平板等移动终端文件传至交互显示设备，方便教师在接收端打开并操作文件22、★具备一体化摄像头，支持 大于等于1600W有效像素的视频采集，摄像头数量不少于4个;支持远程巡课、微课录制等功能。23、内置电脑采用插拔结构。24、智能黑板支持屏幕下移，屏幕下移后仍可进行触控、书写等操作，方便老师操作电脑上方功能；25、整机侧板支持教师常用的粉笔、液体粉笔书写，笔记线条清晰且具备磁性吸附功能。26、内置电脑、27、整机架构:为降低电脑模块维护成本，接口严格遵循Intel相关规范,与设备无单独接线；28、为保证产品安全性，无需工具即可快速拆卸电脑模块； 29、CPU采用≥Intel 12代酷睿I5处理器内存：≥8DDR4；硬盘：≥256SSD固态硬盘； 接口：非外扩展具备个≥4个USB接口，具有独立非外扩展的视频输出接口：≥1路HDMI，≥1路DP；整机具备防盗锁孔位，可提高产品安全性；</w:t>
                  </w:r>
                </w:p>
              </w:tc>
              <w:tc>
                <w:tcPr>
                  <w:tcW w:type="dxa" w:w="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r>
            <w:tr>
              <w:tc>
                <w:tcPr>
                  <w:tcW w:type="dxa" w:w="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备授课软件</w:t>
                  </w:r>
                </w:p>
              </w:tc>
              <w:tc>
                <w:tcPr>
                  <w:tcW w:type="dxa" w:w="2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备授课一体化，具有备课模式及授课模式。课件云存储，无需使用U盘等存储设备，方便老师存储资料，老师只需联网登录即可获取云课件。2、老师个人账号无需完成特定任务，即可获取云端存储空间；3、软件内预置的高质量课件素材，任课教师可根据教材章节目录、知识点选择对应的教学内容。老师仅需要按每个教学环节选择所需的教学模块即可快速生成一份课件。4、允许老师在网页端、移动端、电脑端浏览教学设计和课件内容。所有制作的课件均实时保存至云端，老师只需登录即可同步查看；5、提供PPT导入功能,可查看当前导入进度，上传完成后具有中文提示功能；6、书写工具:提供多种书写工具，包含设置字体、大小、颜色、粗体、斜体、下划线、删除线、上标、下标、项目符号等复杂文本的输入，可对文本的对齐、行间距、透明度、等进行设置，方便用户编辑文字。7、老师可导入白板软件生成课件，导入后的文字、图片等课件元素可编辑，导入后的音视频可播放。8、语文学科可以根据老师选择的课件组合自动生成与课件内容相匹配的个性化教案，并支持教案的在线编辑及教案的保存和打印9、提供模块化的课件素材和教案，课件支持组选：10、至少提供12门及以上学科工具，至少包含语文、数学、英语、物理、化学、生物、地理、历史、音乐、体育、美术、信息技术等常用学科。</w:t>
                  </w:r>
                </w:p>
              </w:tc>
              <w:tc>
                <w:tcPr>
                  <w:tcW w:type="dxa" w:w="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r>
            <w:tr>
              <w:tc>
                <w:tcPr>
                  <w:tcW w:type="dxa" w:w="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演示助手</w:t>
                  </w:r>
                </w:p>
              </w:tc>
              <w:tc>
                <w:tcPr>
                  <w:tcW w:type="dxa" w:w="2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1、可适用于主流办公演示软（如WPS与PowerPoint 等），打开课件自动启动，无需手动打开；</w:t>
                  </w:r>
                  <w:r>
                    <w:br/>
                  </w:r>
                  <w:r>
                    <w:rPr>
                      <w:rFonts w:ascii="仿宋_GB2312" w:hAnsi="仿宋_GB2312" w:cs="仿宋_GB2312" w:eastAsia="仿宋_GB2312"/>
                      <w:sz w:val="19"/>
                      <w:color w:val="000000"/>
                    </w:rPr>
                    <w:t xml:space="preserve"> 2、为满足教师使用习惯，可支持双侧工具栏位置自定义；</w:t>
                  </w:r>
                  <w:r>
                    <w:br/>
                  </w:r>
                  <w:r>
                    <w:rPr>
                      <w:rFonts w:ascii="仿宋_GB2312" w:hAnsi="仿宋_GB2312" w:cs="仿宋_GB2312" w:eastAsia="仿宋_GB2312"/>
                      <w:sz w:val="19"/>
                      <w:color w:val="000000"/>
                    </w:rPr>
                    <w:t xml:space="preserve"> 3、在不修改原课件格式情况下，支持对打开的文档进行实时批注、擦除等操作，保留原文件完整性；</w:t>
                  </w:r>
                  <w:r>
                    <w:br/>
                  </w:r>
                  <w:r>
                    <w:rPr>
                      <w:rFonts w:ascii="仿宋_GB2312" w:hAnsi="仿宋_GB2312" w:cs="仿宋_GB2312" w:eastAsia="仿宋_GB2312"/>
                      <w:sz w:val="19"/>
                      <w:color w:val="000000"/>
                    </w:rPr>
                    <w:t xml:space="preserve"> 4、为满足不同的教学场景书写，提供多种书写笔。所有工具均配备中文标识或指引，方便教师识别；</w:t>
                  </w:r>
                  <w:r>
                    <w:br/>
                  </w:r>
                  <w:r>
                    <w:rPr>
                      <w:rFonts w:ascii="仿宋_GB2312" w:hAnsi="仿宋_GB2312" w:cs="仿宋_GB2312" w:eastAsia="仿宋_GB2312"/>
                      <w:sz w:val="19"/>
                      <w:color w:val="000000"/>
                    </w:rPr>
                    <w:t xml:space="preserve"> 4、内置多种教学常用辅助工具（如时钟、聚光灯等），无需切换软件，可直接在课件中调用；</w:t>
                  </w:r>
                  <w:r>
                    <w:br/>
                  </w:r>
                  <w:r>
                    <w:rPr>
                      <w:rFonts w:ascii="仿宋_GB2312" w:hAnsi="仿宋_GB2312" w:cs="仿宋_GB2312" w:eastAsia="仿宋_GB2312"/>
                      <w:sz w:val="19"/>
                      <w:color w:val="000000"/>
                    </w:rPr>
                    <w:t xml:space="preserve"> 支持在课件播放音视频过程中，通过非物理按键方式实现黑屏功能，黑屏状态下轻触屏幕可点亮，且不影响音视频正常播放。</w:t>
                  </w:r>
                </w:p>
              </w:tc>
              <w:tc>
                <w:tcPr>
                  <w:tcW w:type="dxa" w:w="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r>
            <w:tr>
              <w:tc>
                <w:tcPr>
                  <w:tcW w:type="dxa" w:w="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无线画面同步软件</w:t>
                  </w:r>
                </w:p>
              </w:tc>
              <w:tc>
                <w:tcPr>
                  <w:tcW w:type="dxa" w:w="2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1、内置无线传屏接收端，Android和Windows系统下无需外部接收组件，通过适配的无线传屏发射器与交互设备匹配后可实现无线传屏功能。</w:t>
                  </w:r>
                  <w:r>
                    <w:br/>
                  </w:r>
                  <w:r>
                    <w:rPr>
                      <w:rFonts w:ascii="仿宋_GB2312" w:hAnsi="仿宋_GB2312" w:cs="仿宋_GB2312" w:eastAsia="仿宋_GB2312"/>
                      <w:sz w:val="19"/>
                      <w:color w:val="000000"/>
                    </w:rPr>
                    <w:t xml:space="preserve"> 2、至少支持三种及以上主流终端设备（如手机、电脑、平板）与交互显示设备无线投屏，可将移动终端文件传至交互显示设备。</w:t>
                  </w:r>
                  <w:r>
                    <w:br/>
                  </w:r>
                  <w:r>
                    <w:rPr>
                      <w:rFonts w:ascii="仿宋_GB2312" w:hAnsi="仿宋_GB2312" w:cs="仿宋_GB2312" w:eastAsia="仿宋_GB2312"/>
                      <w:sz w:val="19"/>
                      <w:color w:val="000000"/>
                    </w:rPr>
                    <w:t xml:space="preserve"> 3、手机端向交互显示设备扫码连接时自动与交互显示设备网络匹配。</w:t>
                  </w:r>
                  <w:r>
                    <w:br/>
                  </w:r>
                  <w:r>
                    <w:rPr>
                      <w:rFonts w:ascii="仿宋_GB2312" w:hAnsi="仿宋_GB2312" w:cs="仿宋_GB2312" w:eastAsia="仿宋_GB2312"/>
                      <w:sz w:val="19"/>
                      <w:color w:val="000000"/>
                    </w:rPr>
                    <w:t xml:space="preserve"> 4、手机端在移动授课时，浏览网页、播放在线音视频等不消耗手机网络流量</w:t>
                  </w:r>
                  <w:r>
                    <w:br/>
                  </w:r>
                  <w:r>
                    <w:rPr>
                      <w:rFonts w:ascii="仿宋_GB2312" w:hAnsi="仿宋_GB2312" w:cs="仿宋_GB2312" w:eastAsia="仿宋_GB2312"/>
                      <w:sz w:val="19"/>
                      <w:color w:val="000000"/>
                    </w:rPr>
                    <w:t xml:space="preserve"> 5、支持多张图片、音视频等影像上传，可对上传图片进行裁剪、旋转双向批注/擦除功能</w:t>
                  </w:r>
                  <w:r>
                    <w:br/>
                  </w:r>
                  <w:r>
                    <w:rPr>
                      <w:rFonts w:ascii="仿宋_GB2312" w:hAnsi="仿宋_GB2312" w:cs="仿宋_GB2312" w:eastAsia="仿宋_GB2312"/>
                      <w:sz w:val="19"/>
                      <w:color w:val="000000"/>
                    </w:rPr>
                    <w:t xml:space="preserve"> 6、支持Android.iOs. Windows等主流操作系统的投屏画面，可支持不少于6个终端设备同时投屏，并自动分屏排布，可将任意一路画面全屏播放，并支持所投视频音频同时播放;支持多手机同时连接交互显示设备，可设置指定设备为主控设备</w:t>
                  </w:r>
                </w:p>
              </w:tc>
              <w:tc>
                <w:tcPr>
                  <w:tcW w:type="dxa" w:w="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r>
            <w:tr>
              <w:tc>
                <w:tcPr>
                  <w:tcW w:type="dxa" w:w="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视频展台</w:t>
                  </w:r>
                </w:p>
              </w:tc>
              <w:tc>
                <w:tcPr>
                  <w:tcW w:type="dxa" w:w="2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1.配备开合式托板，展开后托板有效使用面积不小于 A4 纸张尺寸（210mm×297mm）</w:t>
                  </w:r>
                  <w:r>
                    <w:br/>
                  </w:r>
                  <w:r>
                    <w:rPr>
                      <w:rFonts w:ascii="仿宋_GB2312" w:hAnsi="仿宋_GB2312" w:cs="仿宋_GB2312" w:eastAsia="仿宋_GB2312"/>
                      <w:sz w:val="19"/>
                      <w:color w:val="000000"/>
                    </w:rPr>
                    <w:t xml:space="preserve"> 2.采用USB高速接口，支持通过单根USB线实现供电、高清数据传输需求</w:t>
                  </w:r>
                  <w:r>
                    <w:br/>
                  </w:r>
                  <w:r>
                    <w:rPr>
                      <w:rFonts w:ascii="仿宋_GB2312" w:hAnsi="仿宋_GB2312" w:cs="仿宋_GB2312" w:eastAsia="仿宋_GB2312"/>
                      <w:sz w:val="19"/>
                      <w:color w:val="000000"/>
                    </w:rPr>
                    <w:t xml:space="preserve"> 3.采用不低于800W像素，具备自动对焦功能，可清晰拍摄A4画幅内容。</w:t>
                  </w:r>
                  <w:r>
                    <w:br/>
                  </w:r>
                  <w:r>
                    <w:rPr>
                      <w:rFonts w:ascii="仿宋_GB2312" w:hAnsi="仿宋_GB2312" w:cs="仿宋_GB2312" w:eastAsia="仿宋_GB2312"/>
                      <w:sz w:val="19"/>
                      <w:color w:val="000000"/>
                    </w:rPr>
                    <w:t xml:space="preserve"> 4.支持展台画面实时批注，提供多种笔划粗细及颜色供选择，且支持对展台画面联同批注内容进行同步缩放、移动。</w:t>
                  </w:r>
                  <w:r>
                    <w:br/>
                  </w:r>
                  <w:r>
                    <w:rPr>
                      <w:rFonts w:ascii="仿宋_GB2312" w:hAnsi="仿宋_GB2312" w:cs="仿宋_GB2312" w:eastAsia="仿宋_GB2312"/>
                      <w:sz w:val="19"/>
                      <w:color w:val="000000"/>
                    </w:rPr>
                    <w:t xml:space="preserve"> 5.支持展台画面拍照截图并进行多图预览，可对任一图片进行全屏显示。</w:t>
                  </w:r>
                  <w:r>
                    <w:br/>
                  </w:r>
                  <w:r>
                    <w:rPr>
                      <w:rFonts w:ascii="仿宋_GB2312" w:hAnsi="仿宋_GB2312" w:cs="仿宋_GB2312" w:eastAsia="仿宋_GB2312"/>
                      <w:sz w:val="19"/>
                      <w:color w:val="000000"/>
                    </w:rPr>
                    <w:t xml:space="preserve"> 6.提供多种情景模式（如图像、文本、动态等），可根据展示内容切换适配。</w:t>
                  </w:r>
                </w:p>
              </w:tc>
              <w:tc>
                <w:tcPr>
                  <w:tcW w:type="dxa" w:w="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r>
            <w:tr>
              <w:tc>
                <w:tcPr>
                  <w:tcW w:type="dxa" w:w="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语音智能笔</w:t>
                  </w:r>
                </w:p>
              </w:tc>
              <w:tc>
                <w:tcPr>
                  <w:tcW w:type="dxa" w:w="2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1.笔身采用便于握持的一体化造型设计，表面处理工艺（如手感漆、橡胶涂层等）需具备良好手感，提升握持舒适度。</w:t>
                  </w:r>
                  <w:r>
                    <w:br/>
                  </w:r>
                  <w:r>
                    <w:rPr>
                      <w:rFonts w:ascii="仿宋_GB2312" w:hAnsi="仿宋_GB2312" w:cs="仿宋_GB2312" w:eastAsia="仿宋_GB2312"/>
                      <w:sz w:val="19"/>
                      <w:color w:val="000000"/>
                    </w:rPr>
                    <w:t xml:space="preserve"> 2.笔身配置不少于五个可自定义功能按键，可实现上下翻页，智能语音，远程标注/放大，书写颜色切换，兼顾触摸书写以及远程操控的握持姿态需求；</w:t>
                  </w:r>
                  <w:r>
                    <w:br/>
                  </w:r>
                  <w:r>
                    <w:rPr>
                      <w:rFonts w:ascii="仿宋_GB2312" w:hAnsi="仿宋_GB2312" w:cs="仿宋_GB2312" w:eastAsia="仿宋_GB2312"/>
                      <w:sz w:val="19"/>
                      <w:color w:val="000000"/>
                    </w:rPr>
                    <w:t xml:space="preserve"> 3.内置麦克风，支持按键唤醒语音识别功能，避免杂音造成误唤醒；</w:t>
                  </w:r>
                  <w:r>
                    <w:br/>
                  </w:r>
                  <w:r>
                    <w:rPr>
                      <w:rFonts w:ascii="仿宋_GB2312" w:hAnsi="仿宋_GB2312" w:cs="仿宋_GB2312" w:eastAsia="仿宋_GB2312"/>
                      <w:sz w:val="19"/>
                      <w:color w:val="000000"/>
                    </w:rPr>
                    <w:t xml:space="preserve"> 4.★语音：支持唤醒语音识别时，可直接通过语音打开已安装的应用，可直接通过语音调用网络搜索引擎搜索查询相应资料，可进行语音转写输入</w:t>
                  </w:r>
                  <w:r>
                    <w:br/>
                  </w:r>
                  <w:r>
                    <w:rPr>
                      <w:rFonts w:ascii="仿宋_GB2312" w:hAnsi="仿宋_GB2312" w:cs="仿宋_GB2312" w:eastAsia="仿宋_GB2312"/>
                      <w:sz w:val="19"/>
                      <w:color w:val="000000"/>
                    </w:rPr>
                    <w:t xml:space="preserve"> 5.无线：为保障用户在不同场景使用智能笔，支持多种无线连接方式（如无线dongle及蓝牙等）两种连接方式，支持蓝牙5.1协议；</w:t>
                  </w:r>
                  <w:r>
                    <w:br/>
                  </w:r>
                  <w:r>
                    <w:rPr>
                      <w:rFonts w:ascii="仿宋_GB2312" w:hAnsi="仿宋_GB2312" w:cs="仿宋_GB2312" w:eastAsia="仿宋_GB2312"/>
                      <w:sz w:val="19"/>
                      <w:color w:val="000000"/>
                    </w:rPr>
                    <w:t xml:space="preserve"> 6.自动休眠：支持智能休眠节电，当设备&gt;5min无人操作时，设备自动进入休眠节电模式；</w:t>
                  </w:r>
                </w:p>
              </w:tc>
              <w:tc>
                <w:tcPr>
                  <w:tcW w:type="dxa" w:w="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r>
            <w:tr>
              <w:tc>
                <w:tcPr>
                  <w:tcW w:type="dxa" w:w="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教师扩音系统</w:t>
                  </w:r>
                </w:p>
              </w:tc>
              <w:tc>
                <w:tcPr>
                  <w:tcW w:type="dxa" w:w="2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一、音箱</w:t>
                  </w:r>
                  <w:r>
                    <w:br/>
                  </w:r>
                  <w:r>
                    <w:rPr>
                      <w:rFonts w:ascii="仿宋_GB2312" w:hAnsi="仿宋_GB2312" w:cs="仿宋_GB2312" w:eastAsia="仿宋_GB2312"/>
                      <w:sz w:val="19"/>
                      <w:color w:val="000000"/>
                    </w:rPr>
                    <w:t xml:space="preserve"> 1.采用功放及有源音箱一体化设计。</w:t>
                  </w:r>
                  <w:r>
                    <w:br/>
                  </w:r>
                  <w:r>
                    <w:rPr>
                      <w:rFonts w:ascii="仿宋_GB2312" w:hAnsi="仿宋_GB2312" w:cs="仿宋_GB2312" w:eastAsia="仿宋_GB2312"/>
                      <w:sz w:val="19"/>
                      <w:color w:val="000000"/>
                    </w:rPr>
                    <w:t xml:space="preserve"> 2.双音箱配对，箱体材质具备良好声学特性（如木质、高密度复合材质等），保证声音还原度。</w:t>
                  </w:r>
                  <w:r>
                    <w:br/>
                  </w:r>
                  <w:r>
                    <w:rPr>
                      <w:rFonts w:ascii="仿宋_GB2312" w:hAnsi="仿宋_GB2312" w:cs="仿宋_GB2312" w:eastAsia="仿宋_GB2312"/>
                      <w:sz w:val="19"/>
                      <w:color w:val="000000"/>
                    </w:rPr>
                    <w:t xml:space="preserve"> 3.输出额定功率: 2*15W。</w:t>
                  </w:r>
                  <w:r>
                    <w:br/>
                  </w:r>
                  <w:r>
                    <w:rPr>
                      <w:rFonts w:ascii="仿宋_GB2312" w:hAnsi="仿宋_GB2312" w:cs="仿宋_GB2312" w:eastAsia="仿宋_GB2312"/>
                      <w:sz w:val="19"/>
                      <w:color w:val="000000"/>
                    </w:rPr>
                    <w:t xml:space="preserve"> 4.端口：至少包含电源*1、Line in*1、Line out*1、U盘接口*1。</w:t>
                  </w:r>
                  <w:r>
                    <w:br/>
                  </w:r>
                  <w:r>
                    <w:rPr>
                      <w:rFonts w:ascii="仿宋_GB2312" w:hAnsi="仿宋_GB2312" w:cs="仿宋_GB2312" w:eastAsia="仿宋_GB2312"/>
                      <w:sz w:val="19"/>
                      <w:color w:val="000000"/>
                    </w:rPr>
                    <w:t xml:space="preserve"> 5.支持无线麦克风接收功能（如数字U段等主流技术）具备抗干扰能力，可减少 WiFi 等环境信号干扰。</w:t>
                  </w:r>
                  <w:r>
                    <w:br/>
                  </w:r>
                  <w:r>
                    <w:rPr>
                      <w:rFonts w:ascii="仿宋_GB2312" w:hAnsi="仿宋_GB2312" w:cs="仿宋_GB2312" w:eastAsia="仿宋_GB2312"/>
                      <w:sz w:val="19"/>
                      <w:color w:val="000000"/>
                    </w:rPr>
                    <w:t xml:space="preserve"> 6.配置独立音频数字信号处理芯片，支持啸叫抑制功能。</w:t>
                  </w:r>
                  <w:r>
                    <w:br/>
                  </w:r>
                  <w:r>
                    <w:rPr>
                      <w:rFonts w:ascii="仿宋_GB2312" w:hAnsi="仿宋_GB2312" w:cs="仿宋_GB2312" w:eastAsia="仿宋_GB2312"/>
                      <w:sz w:val="19"/>
                      <w:color w:val="000000"/>
                    </w:rPr>
                    <w:t xml:space="preserve"> 7.支持蓝牙无线接收，可连接移动设备播放音频；具备连接权限管理功能（如密码保护等），防止非授权设备接入。</w:t>
                  </w:r>
                  <w:r>
                    <w:br/>
                  </w:r>
                  <w:r>
                    <w:rPr>
                      <w:rFonts w:ascii="仿宋_GB2312" w:hAnsi="仿宋_GB2312" w:cs="仿宋_GB2312" w:eastAsia="仿宋_GB2312"/>
                      <w:sz w:val="19"/>
                      <w:color w:val="000000"/>
                    </w:rPr>
                    <w:t xml:space="preserve"> 8.支持扩音和输入音源叠加输出，方便与录播系统结合，或者通过串联功放支持更大环境扩音。</w:t>
                  </w:r>
                  <w:r>
                    <w:br/>
                  </w:r>
                  <w:r>
                    <w:rPr>
                      <w:rFonts w:ascii="仿宋_GB2312" w:hAnsi="仿宋_GB2312" w:cs="仿宋_GB2312" w:eastAsia="仿宋_GB2312"/>
                      <w:sz w:val="19"/>
                      <w:color w:val="000000"/>
                    </w:rPr>
                    <w:t xml:space="preserve"> 二、麦克风</w:t>
                  </w:r>
                  <w:r>
                    <w:br/>
                  </w:r>
                  <w:r>
                    <w:rPr>
                      <w:rFonts w:ascii="仿宋_GB2312" w:hAnsi="仿宋_GB2312" w:cs="仿宋_GB2312" w:eastAsia="仿宋_GB2312"/>
                      <w:sz w:val="19"/>
                      <w:color w:val="000000"/>
                    </w:rPr>
                    <w:t xml:space="preserve"> 9.无线麦克风集音频发射处理器、天线、电池、拾音麦克风于一体，配合一体化有源音箱，无需任何外接辅助设备即可实现本地扩声功能。</w:t>
                  </w:r>
                  <w:r>
                    <w:br/>
                  </w:r>
                  <w:r>
                    <w:rPr>
                      <w:rFonts w:ascii="仿宋_GB2312" w:hAnsi="仿宋_GB2312" w:cs="仿宋_GB2312" w:eastAsia="仿宋_GB2312"/>
                      <w:sz w:val="19"/>
                      <w:color w:val="000000"/>
                    </w:rPr>
                    <w:t xml:space="preserve"> 10.用Wi-Fi射频频段传输，有效避免环境中运营商U段（700MHz）信号干扰</w:t>
                  </w:r>
                  <w:r>
                    <w:br/>
                  </w:r>
                  <w:r>
                    <w:rPr>
                      <w:rFonts w:ascii="仿宋_GB2312" w:hAnsi="仿宋_GB2312" w:cs="仿宋_GB2312" w:eastAsia="仿宋_GB2312"/>
                      <w:sz w:val="19"/>
                      <w:color w:val="000000"/>
                    </w:rPr>
                    <w:t xml:space="preserve"> 11.支持2.4GHz与5G双频段工作，信道数量≥26个</w:t>
                  </w:r>
                  <w:r>
                    <w:br/>
                  </w:r>
                  <w:r>
                    <w:rPr>
                      <w:rFonts w:ascii="仿宋_GB2312" w:hAnsi="仿宋_GB2312" w:cs="仿宋_GB2312" w:eastAsia="仿宋_GB2312"/>
                      <w:sz w:val="19"/>
                      <w:color w:val="000000"/>
                    </w:rPr>
                    <w:t xml:space="preserve"> 12.配合USB接收器连接一体机，具备翻页键功能，可远程操控一体机设备进行教材翻页功能。</w:t>
                  </w:r>
                  <w:r>
                    <w:br/>
                  </w:r>
                  <w:r>
                    <w:rPr>
                      <w:rFonts w:ascii="仿宋_GB2312" w:hAnsi="仿宋_GB2312" w:cs="仿宋_GB2312" w:eastAsia="仿宋_GB2312"/>
                      <w:sz w:val="19"/>
                      <w:color w:val="000000"/>
                    </w:rPr>
                    <w:t xml:space="preserve"> 支持两个无线麦克风同时配对一个一体化有源音箱使用，实现两个麦克风混音输出进行扩音</w:t>
                  </w:r>
                </w:p>
              </w:tc>
              <w:tc>
                <w:tcPr>
                  <w:tcW w:type="dxa" w:w="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r>
            <w:tr>
              <w:tc>
                <w:tcPr>
                  <w:tcW w:type="dxa" w:w="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集控管理平台</w:t>
                  </w:r>
                </w:p>
              </w:tc>
              <w:tc>
                <w:tcPr>
                  <w:tcW w:type="dxa" w:w="2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1、后台控制端采用 B/S 架构设计，支持通过主流网页浏览器在 Windows、Linux、Android、IOS 等多种不同的操作系统上通过网页浏览器登录进行操作；</w:t>
                  </w:r>
                  <w:r>
                    <w:br/>
                  </w:r>
                  <w:r>
                    <w:rPr>
                      <w:rFonts w:ascii="仿宋_GB2312" w:hAnsi="仿宋_GB2312" w:cs="仿宋_GB2312" w:eastAsia="仿宋_GB2312"/>
                      <w:sz w:val="19"/>
                      <w:color w:val="000000"/>
                    </w:rPr>
                    <w:t xml:space="preserve"> 2、多层级用户管理：可设置不同权限的管理员，分配地点管理校园设备；用户账号与云端账号统一，根据手机号自动获取用户信息；</w:t>
                  </w:r>
                  <w:r>
                    <w:br/>
                  </w:r>
                  <w:r>
                    <w:rPr>
                      <w:rFonts w:ascii="仿宋_GB2312" w:hAnsi="仿宋_GB2312" w:cs="仿宋_GB2312" w:eastAsia="仿宋_GB2312"/>
                      <w:sz w:val="19"/>
                      <w:color w:val="000000"/>
                    </w:rPr>
                    <w:t xml:space="preserve"> 3、设备详情：查看校园内所有设备的状态，包括在线、离线状态，教室名称、内存使用率、CPU使用率、C盘使用率，支持按照设备类型、设备名称进行查询筛选；支持按列表展示以及按缩略图展示；4、即时操作控制：批量对选定的受控设备进行关机、重启、触控切换（屏幕触控锁定、解锁），童锁切换、信号源切换、音量调节、打铃操作；5、定时操作控制：可远程对选定的设备做定时关机、定时打铃、定时切换信号源、定时信息发布，实现单次、每日循环、每周循环、每月循环的定时控制。6、控制列表：支持查看控制列表，查看立即控制、定时计划、信息发布等内容；包含下发命令内容、执行时间、执行策略、已执行数量等内容；7、发布信息：可即时向任意选定的设备发布纯文本信息，支持常驻桌面型、滚动发布型及气泡弹出提示，可设置播放时长，支持再次编辑；支持设置字体及字体颜色；8、文件分发：支持多文件推送至任意选定的设备，包括但不限于文本、图片、pdf、word、excel、ppt、flash、音视频等格式；9、软件管理：支持上传软件至平台，自动下发至桌面进行自动运行安装；10、课间文化：选择音/视频下发至大屏，自定义时间自动播放；单次播放，每日/每周/每月定时播放；无需部署本地服务器；11、以图文形式对设备的使用情况进行数据统计，可以按照一定时间周期进行统计，也支持按日、周、月进行统计；12、统计内容包括设备数量、设备开机率、设备开机时长、软件使用活跃度、设备活跃度排行、设备使用时长分布、设备在线数量、学科使用情况等，支持以统计图表显示导出；13、支持将统计图表内容每周推送至用户移动端中；</w:t>
                  </w:r>
                </w:p>
              </w:tc>
              <w:tc>
                <w:tcPr>
                  <w:tcW w:type="dxa" w:w="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r>
            <w:tr>
              <w:tc>
                <w:tcPr>
                  <w:tcW w:type="dxa" w:w="1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数字校园综合管理平台</w:t>
                  </w:r>
                </w:p>
              </w:tc>
              <w:tc>
                <w:tcPr>
                  <w:tcW w:type="dxa" w:w="2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一、基础服务</w:t>
                  </w:r>
                  <w:r>
                    <w:br/>
                  </w:r>
                  <w:r>
                    <w:rPr>
                      <w:rFonts w:ascii="仿宋_GB2312" w:hAnsi="仿宋_GB2312" w:cs="仿宋_GB2312" w:eastAsia="仿宋_GB2312"/>
                      <w:sz w:val="19"/>
                      <w:color w:val="000000"/>
                    </w:rPr>
                    <w:t xml:space="preserve"> 1.设计架构：系统采用模块化的架构设计B/S架构，支持通过主流浏览器打开即可使用教师空间中的各项功能模块，登录方式支持账号密码登录、扫码登录等常见鉴权方式。</w:t>
                  </w:r>
                  <w:r>
                    <w:br/>
                  </w:r>
                  <w:r>
                    <w:rPr>
                      <w:rFonts w:ascii="仿宋_GB2312" w:hAnsi="仿宋_GB2312" w:cs="仿宋_GB2312" w:eastAsia="仿宋_GB2312"/>
                      <w:sz w:val="19"/>
                      <w:color w:val="000000"/>
                    </w:rPr>
                    <w:t xml:space="preserve"> 2.登录认证：基于Web浏览器，提供用户统一登录认证功能，包括但不限于：手机号码注册、登录、忘记密码、扫码登录、账号管理功能等。</w:t>
                  </w:r>
                  <w:r>
                    <w:br/>
                  </w:r>
                  <w:r>
                    <w:rPr>
                      <w:rFonts w:ascii="仿宋_GB2312" w:hAnsi="仿宋_GB2312" w:cs="仿宋_GB2312" w:eastAsia="仿宋_GB2312"/>
                      <w:sz w:val="19"/>
                      <w:color w:val="000000"/>
                    </w:rPr>
                    <w:t xml:space="preserve"> 3.通知中心：支持聚合平台所有通知消息，方便用户统一查看，处理来自各个应用的通知。</w:t>
                  </w:r>
                  <w:r>
                    <w:br/>
                  </w:r>
                  <w:r>
                    <w:rPr>
                      <w:rFonts w:ascii="仿宋_GB2312" w:hAnsi="仿宋_GB2312" w:cs="仿宋_GB2312" w:eastAsia="仿宋_GB2312"/>
                      <w:sz w:val="19"/>
                      <w:color w:val="000000"/>
                    </w:rPr>
                    <w:t xml:space="preserve"> 4.代办中心：支持通过代办中心处理老师待处理的工作，处理完毕的代办事项会消失在代办中心。</w:t>
                  </w:r>
                  <w:r>
                    <w:br/>
                  </w:r>
                  <w:r>
                    <w:rPr>
                      <w:rFonts w:ascii="仿宋_GB2312" w:hAnsi="仿宋_GB2312" w:cs="仿宋_GB2312" w:eastAsia="仿宋_GB2312"/>
                      <w:sz w:val="19"/>
                      <w:color w:val="000000"/>
                    </w:rPr>
                    <w:t xml:space="preserve"> 5.新闻公告：支持查看来自信发系统的消息公告，点击以弹窗的形式展示文字，图片，视频等公告消息。</w:t>
                  </w:r>
                  <w:r>
                    <w:br/>
                  </w:r>
                  <w:r>
                    <w:rPr>
                      <w:rFonts w:ascii="仿宋_GB2312" w:hAnsi="仿宋_GB2312" w:cs="仿宋_GB2312" w:eastAsia="仿宋_GB2312"/>
                      <w:sz w:val="19"/>
                      <w:color w:val="000000"/>
                    </w:rPr>
                    <w:t xml:space="preserve"> 6.首页工作台配置：针对不同的客户诉求，提供个性化工作台自定义功能，在工作台配置页面，可通过拖拉拽可视化配置组件的方式，完成个性化工作台的配置；工作台可配置组件数量不小于25个；支持给每个工作台配置不同的使用角色，对应的角色才能看到对应的工作台；同时工作台支持启用和停用管理。</w:t>
                  </w:r>
                  <w:r>
                    <w:br/>
                  </w:r>
                  <w:r>
                    <w:rPr>
                      <w:rFonts w:ascii="仿宋_GB2312" w:hAnsi="仿宋_GB2312" w:cs="仿宋_GB2312" w:eastAsia="仿宋_GB2312"/>
                      <w:sz w:val="19"/>
                      <w:color w:val="000000"/>
                    </w:rPr>
                    <w:t xml:space="preserve"> 7.角色权限：支持学校自定义角色组，针对角色可设置功能权限；支持自定义角色的管理范围。</w:t>
                  </w:r>
                  <w:r>
                    <w:br/>
                  </w:r>
                  <w:r>
                    <w:rPr>
                      <w:rFonts w:ascii="仿宋_GB2312" w:hAnsi="仿宋_GB2312" w:cs="仿宋_GB2312" w:eastAsia="仿宋_GB2312"/>
                      <w:sz w:val="19"/>
                      <w:color w:val="000000"/>
                    </w:rPr>
                    <w:t xml:space="preserve"> 8.系统管理员:提供组织管理员管理功能，包括：管理员添加、移除和转移，同时支持设置管理员的管理权限，包括：组织管理，系统管理员管理，角色权限，工作台配置，应用管理，区域语言和操作日志。</w:t>
                  </w:r>
                  <w:r>
                    <w:br/>
                  </w:r>
                  <w:r>
                    <w:rPr>
                      <w:rFonts w:ascii="仿宋_GB2312" w:hAnsi="仿宋_GB2312" w:cs="仿宋_GB2312" w:eastAsia="仿宋_GB2312"/>
                      <w:sz w:val="19"/>
                      <w:color w:val="000000"/>
                    </w:rPr>
                    <w:t xml:space="preserve"> 9.应用管理:提供应用中心应用管理功能，包括：应用安装、应用卸载。</w:t>
                  </w:r>
                  <w:r>
                    <w:br/>
                  </w:r>
                  <w:r>
                    <w:rPr>
                      <w:rFonts w:ascii="仿宋_GB2312" w:hAnsi="仿宋_GB2312" w:cs="仿宋_GB2312" w:eastAsia="仿宋_GB2312"/>
                      <w:sz w:val="19"/>
                      <w:color w:val="000000"/>
                    </w:rPr>
                    <w:t xml:space="preserve"> 10.操作日志:提供统一的日志查询管理功能，包括：按照人员、时间查询操作记录。</w:t>
                  </w:r>
                  <w:r>
                    <w:br/>
                  </w:r>
                  <w:r>
                    <w:rPr>
                      <w:rFonts w:ascii="仿宋_GB2312" w:hAnsi="仿宋_GB2312" w:cs="仿宋_GB2312" w:eastAsia="仿宋_GB2312"/>
                      <w:sz w:val="19"/>
                      <w:color w:val="000000"/>
                    </w:rPr>
                    <w:t xml:space="preserve"> 11.开发者中心：支持学校上架自有应用，创建应用支持添加图标，名称，描述，应用跳转链接；支持应用连接器完成系统和第三方平台的业务数据交换。</w:t>
                  </w:r>
                  <w:r>
                    <w:br/>
                  </w:r>
                  <w:r>
                    <w:rPr>
                      <w:rFonts w:ascii="仿宋_GB2312" w:hAnsi="仿宋_GB2312" w:cs="仿宋_GB2312" w:eastAsia="仿宋_GB2312"/>
                      <w:sz w:val="19"/>
                      <w:color w:val="000000"/>
                    </w:rPr>
                    <w:t xml:space="preserve"> 二、信息管理</w:t>
                  </w:r>
                  <w:r>
                    <w:br/>
                  </w:r>
                  <w:r>
                    <w:rPr>
                      <w:rFonts w:ascii="仿宋_GB2312" w:hAnsi="仿宋_GB2312" w:cs="仿宋_GB2312" w:eastAsia="仿宋_GB2312"/>
                      <w:sz w:val="19"/>
                      <w:color w:val="000000"/>
                    </w:rPr>
                    <w:t xml:space="preserve"> 1.教职工管理：支持管理员手动添加教职工，教职工信息包括：教工号，姓名，手机号码，角色，管理范围；添加方式包括：Excel批量导入，批量复制，手动添加；支持导出，查询，删除教职工；教职工支持设置部门组织架构，支持多级组织架构，支持在组织架构节点上导入用户。</w:t>
                  </w:r>
                  <w:r>
                    <w:br/>
                  </w:r>
                  <w:r>
                    <w:rPr>
                      <w:rFonts w:ascii="仿宋_GB2312" w:hAnsi="仿宋_GB2312" w:cs="仿宋_GB2312" w:eastAsia="仿宋_GB2312"/>
                      <w:sz w:val="19"/>
                      <w:color w:val="000000"/>
                    </w:rPr>
                    <w:t xml:space="preserve"> 2.场地管理：支持添加建筑物，并且在建筑物下面手动添加或者批量导入场地，场地信息包括：名称，楼层，容纳人数，面积，班级，类别，照片；支持设置场地是否支持预约，以及选择可预约的时间。</w:t>
                  </w:r>
                  <w:r>
                    <w:br/>
                  </w:r>
                  <w:r>
                    <w:rPr>
                      <w:rFonts w:ascii="仿宋_GB2312" w:hAnsi="仿宋_GB2312" w:cs="仿宋_GB2312" w:eastAsia="仿宋_GB2312"/>
                      <w:sz w:val="19"/>
                      <w:color w:val="000000"/>
                    </w:rPr>
                    <w:t xml:space="preserve"> 3.班级学生：支持手动或者批量添加行政班组织架构，支持创建不少于4级目录；支持批量导入学生信息，包括学号，姓名，联系方式，家长信息。</w:t>
                  </w:r>
                  <w:r>
                    <w:br/>
                  </w:r>
                  <w:r>
                    <w:rPr>
                      <w:rFonts w:ascii="仿宋_GB2312" w:hAnsi="仿宋_GB2312" w:cs="仿宋_GB2312" w:eastAsia="仿宋_GB2312"/>
                      <w:sz w:val="19"/>
                      <w:color w:val="000000"/>
                    </w:rPr>
                    <w:t xml:space="preserve"> 4.课表管理：支持创建排课计划，支持设置排课计划名称，开始日期，结束日期，课表结构；支持对排课计划启用，编辑，停用，调课；支持通过表格导入排课计划。</w:t>
                  </w:r>
                  <w:r>
                    <w:br/>
                  </w:r>
                  <w:r>
                    <w:rPr>
                      <w:rFonts w:ascii="仿宋_GB2312" w:hAnsi="仿宋_GB2312" w:cs="仿宋_GB2312" w:eastAsia="仿宋_GB2312"/>
                      <w:sz w:val="19"/>
                      <w:color w:val="000000"/>
                    </w:rPr>
                    <w:t xml:space="preserve"> 校园通行证：支持批量导入校园通行证信息，包括：一卡通，智能校徽，智能手环，人脸识别库。</w:t>
                  </w:r>
                  <w:r>
                    <w:br/>
                  </w:r>
                  <w:r>
                    <w:rPr>
                      <w:rFonts w:ascii="仿宋_GB2312" w:hAnsi="仿宋_GB2312" w:cs="仿宋_GB2312" w:eastAsia="仿宋_GB2312"/>
                      <w:sz w:val="19"/>
                      <w:color w:val="000000"/>
                    </w:rPr>
                    <w:t xml:space="preserve"> 三、数据看板</w:t>
                  </w:r>
                  <w:r>
                    <w:br/>
                  </w:r>
                  <w:r>
                    <w:rPr>
                      <w:rFonts w:ascii="仿宋_GB2312" w:hAnsi="仿宋_GB2312" w:cs="仿宋_GB2312" w:eastAsia="仿宋_GB2312"/>
                      <w:sz w:val="19"/>
                      <w:color w:val="000000"/>
                    </w:rPr>
                    <w:t xml:space="preserve"> 1.校级数据看板：管理者可汇总查看全校老师、学生、家长参与评价的情况，可以列表形式查看班主任、班级学生数、家长数、班级代码等信息。了解全校各年级、班级、学生的评价工作执行情况，帮助管理者督促评价工作的落地。学校数据看板可在班牌，学校大屏等硬件上进行显示。</w:t>
                  </w:r>
                  <w:r>
                    <w:br/>
                  </w:r>
                  <w:r>
                    <w:rPr>
                      <w:rFonts w:ascii="仿宋_GB2312" w:hAnsi="仿宋_GB2312" w:cs="仿宋_GB2312" w:eastAsia="仿宋_GB2312"/>
                      <w:sz w:val="19"/>
                      <w:color w:val="000000"/>
                    </w:rPr>
                    <w:t xml:space="preserve"> 2.教师数据报告：统计每个老师的点评数据，分析老师的点评分布，帮助管理者了解老师的点评行为，有必要时可及时进行干预。</w:t>
                  </w:r>
                </w:p>
              </w:tc>
              <w:tc>
                <w:tcPr>
                  <w:tcW w:type="dxa" w:w="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rPr>
              <w:t>技术标准和要求</w:t>
            </w:r>
          </w:p>
          <w:p>
            <w:pPr>
              <w:pStyle w:val="null3"/>
              <w:jc w:val="both"/>
            </w:pPr>
            <w:r>
              <w:rPr>
                <w:rFonts w:ascii="仿宋_GB2312" w:hAnsi="仿宋_GB2312" w:cs="仿宋_GB2312" w:eastAsia="仿宋_GB2312"/>
                <w:sz w:val="18"/>
              </w:rPr>
              <w:t>室外工程</w:t>
            </w:r>
          </w:p>
          <w:p>
            <w:pPr>
              <w:pStyle w:val="null3"/>
              <w:jc w:val="both"/>
            </w:pPr>
            <w:r>
              <w:rPr>
                <w:rFonts w:ascii="仿宋_GB2312" w:hAnsi="仿宋_GB2312" w:cs="仿宋_GB2312" w:eastAsia="仿宋_GB2312"/>
                <w:sz w:val="18"/>
              </w:rPr>
              <w:t>拆除工程：拆除硬化地面、假草皮、散水等时，需彻底清除原有结构及基层，避免残留。拆除过程中保护周边设施，防止损坏。垃圾集中收集后规范外运，运输中不遗撒，保持周边环境整洁。</w:t>
            </w:r>
          </w:p>
          <w:p>
            <w:pPr>
              <w:pStyle w:val="null3"/>
              <w:jc w:val="both"/>
            </w:pPr>
            <w:r>
              <w:rPr>
                <w:rFonts w:ascii="仿宋_GB2312" w:hAnsi="仿宋_GB2312" w:cs="仿宋_GB2312" w:eastAsia="仿宋_GB2312"/>
                <w:sz w:val="18"/>
              </w:rPr>
              <w:t>新做工程：素混凝土桩、各类基础及垫层施工需保证结构稳固，混凝土浇筑密实，养护到位。钢构件制作安装应牢固，连接紧密，表面处理符合要求。瓦屋面铺设平整，防水性能良好。金属扶手栏杆安装稳固，高度符合规定，连接顺畅。墙面涂料、真石漆涂刷均匀，附着牢固，无脱落、起皱。各类路面铺设平整，坡度合理，排水通畅，材料结合紧密，无裂缝、松动。侧石安砌整齐，与路面衔接自然。标线绘制清晰，颜色鲜明。文化墙、造型墙、旗台等施工符合设计样式，结构稳定，表面处理光滑。木屋架、木圆柱等木制品需做防腐处理，安装牢固。</w:t>
            </w:r>
          </w:p>
          <w:p>
            <w:pPr>
              <w:pStyle w:val="null3"/>
              <w:jc w:val="both"/>
            </w:pPr>
            <w:r>
              <w:rPr>
                <w:rFonts w:ascii="仿宋_GB2312" w:hAnsi="仿宋_GB2312" w:cs="仿宋_GB2312" w:eastAsia="仿宋_GB2312"/>
                <w:sz w:val="18"/>
              </w:rPr>
              <w:t>绿化工程：苗木栽植前需检查苗木质量，确保无病虫害，根系完好。栽植时按要求间距种植，深度适宜，栽后夯实浇水。色带、花卉种植整齐，覆盖均匀。喷播植草需保证草籽分布均匀，覆盖到位，后期养护得当，确保成活率。</w:t>
            </w:r>
          </w:p>
          <w:p>
            <w:pPr>
              <w:pStyle w:val="null3"/>
              <w:jc w:val="both"/>
            </w:pPr>
            <w:r>
              <w:rPr>
                <w:rFonts w:ascii="仿宋_GB2312" w:hAnsi="仿宋_GB2312" w:cs="仿宋_GB2312" w:eastAsia="仿宋_GB2312"/>
                <w:sz w:val="18"/>
              </w:rPr>
              <w:t>门房、门楼</w:t>
            </w:r>
          </w:p>
          <w:p>
            <w:pPr>
              <w:pStyle w:val="null3"/>
              <w:jc w:val="both"/>
            </w:pPr>
            <w:r>
              <w:rPr>
                <w:rFonts w:ascii="仿宋_GB2312" w:hAnsi="仿宋_GB2312" w:cs="仿宋_GB2312" w:eastAsia="仿宋_GB2312"/>
                <w:sz w:val="18"/>
              </w:rPr>
              <w:t>拆除工程：拆除门窗、栏杆、涂料层等时，小心操作，避免对门房、门楼主体结构造成破坏。垃圾及时清理外运。</w:t>
            </w:r>
          </w:p>
          <w:p>
            <w:pPr>
              <w:pStyle w:val="null3"/>
              <w:jc w:val="both"/>
            </w:pPr>
            <w:r>
              <w:rPr>
                <w:rFonts w:ascii="仿宋_GB2312" w:hAnsi="仿宋_GB2312" w:cs="仿宋_GB2312" w:eastAsia="仿宋_GB2312"/>
                <w:sz w:val="18"/>
              </w:rPr>
              <w:t>新做工程：铝合金门窗制作安装应方正，开启灵活，密封良好，玻璃、五金件安装牢固。墙面、顶棚涂料及真石漆施工前需处理基层，保证平整干净，涂刷后表面光滑，颜色一致。装饰板墙面安装平整，与基层连接牢固。不锈钢栅栏门及钢构件装饰制作精细，安装稳固，表面光滑无毛刺。屋面排水管安装顺直，接口严密，排水通畅。新增灭火器需符合安全标准，安装位置合理。</w:t>
            </w:r>
          </w:p>
          <w:p>
            <w:pPr>
              <w:pStyle w:val="null3"/>
              <w:jc w:val="both"/>
            </w:pPr>
            <w:r>
              <w:rPr>
                <w:rFonts w:ascii="仿宋_GB2312" w:hAnsi="仿宋_GB2312" w:cs="仿宋_GB2312" w:eastAsia="仿宋_GB2312"/>
                <w:sz w:val="18"/>
              </w:rPr>
              <w:t>1、2、3# 宿舍楼</w:t>
            </w:r>
          </w:p>
          <w:p>
            <w:pPr>
              <w:pStyle w:val="null3"/>
              <w:jc w:val="both"/>
            </w:pPr>
            <w:r>
              <w:rPr>
                <w:rFonts w:ascii="仿宋_GB2312" w:hAnsi="仿宋_GB2312" w:cs="仿宋_GB2312" w:eastAsia="仿宋_GB2312"/>
                <w:sz w:val="18"/>
              </w:rPr>
              <w:t>拆除工程：铲除涂料、拆除散水时，避免损坏墙体及结构，垃圾及时清运。</w:t>
            </w:r>
          </w:p>
          <w:p>
            <w:pPr>
              <w:pStyle w:val="null3"/>
              <w:jc w:val="both"/>
            </w:pPr>
            <w:r>
              <w:rPr>
                <w:rFonts w:ascii="仿宋_GB2312" w:hAnsi="仿宋_GB2312" w:cs="仿宋_GB2312" w:eastAsia="仿宋_GB2312"/>
                <w:sz w:val="18"/>
              </w:rPr>
              <w:t>新做工程：墙面、顶棚涂刷涂料或真石漆前，基层需处理干净，腻子刮涂平整，涂料附着良好，颜色均匀。散水施工需保证混凝土强度，表面平整，坡度合理，与墙体衔接紧密。灭火器安装符合规范，位置易取用。天棚抹灰平整，无空鼓、开裂。</w:t>
            </w:r>
          </w:p>
          <w:p>
            <w:pPr>
              <w:pStyle w:val="null3"/>
              <w:jc w:val="both"/>
            </w:pPr>
            <w:r>
              <w:rPr>
                <w:rFonts w:ascii="仿宋_GB2312" w:hAnsi="仿宋_GB2312" w:cs="仿宋_GB2312" w:eastAsia="仿宋_GB2312"/>
                <w:sz w:val="18"/>
              </w:rPr>
              <w:t>设备采购：智慧黑板需质量合格，功能完好，符合教学使用要求，安装调试到位，确保正常运行。</w:t>
            </w:r>
          </w:p>
          <w:p>
            <w:pPr>
              <w:pStyle w:val="null3"/>
              <w:jc w:val="both"/>
            </w:pPr>
            <w:r>
              <w:rPr>
                <w:rFonts w:ascii="仿宋_GB2312" w:hAnsi="仿宋_GB2312" w:cs="仿宋_GB2312" w:eastAsia="仿宋_GB2312"/>
                <w:sz w:val="18"/>
              </w:rPr>
              <w:t>服务标准和要求</w:t>
            </w:r>
          </w:p>
          <w:p>
            <w:pPr>
              <w:pStyle w:val="null3"/>
              <w:jc w:val="both"/>
            </w:pPr>
            <w:r>
              <w:rPr>
                <w:rFonts w:ascii="仿宋_GB2312" w:hAnsi="仿宋_GB2312" w:cs="仿宋_GB2312" w:eastAsia="仿宋_GB2312"/>
                <w:sz w:val="18"/>
              </w:rPr>
              <w:t>施工服务：制定详细施工计划，按计划有序施工，保证工程进度。施工过程中保持现场整洁，及时清理建筑垃圾，减少对学校教学秩序的影响。合理安排施工时间，如需夜间或特殊时段施工，提前与学校沟通并获得同意。</w:t>
            </w:r>
          </w:p>
          <w:p>
            <w:pPr>
              <w:pStyle w:val="null3"/>
              <w:jc w:val="both"/>
            </w:pPr>
            <w:r>
              <w:rPr>
                <w:rFonts w:ascii="仿宋_GB2312" w:hAnsi="仿宋_GB2312" w:cs="仿宋_GB2312" w:eastAsia="仿宋_GB2312"/>
                <w:sz w:val="18"/>
              </w:rPr>
              <w:t>质量保障：所用材料需符合国家相关标准，提供合格证明。施工各环节严格把控质量，做好检测记录，确保工程质量达标。</w:t>
            </w:r>
          </w:p>
          <w:p>
            <w:pPr>
              <w:pStyle w:val="null3"/>
              <w:jc w:val="both"/>
            </w:pPr>
            <w:r>
              <w:rPr>
                <w:rFonts w:ascii="仿宋_GB2312" w:hAnsi="仿宋_GB2312" w:cs="仿宋_GB2312" w:eastAsia="仿宋_GB2312"/>
                <w:sz w:val="18"/>
              </w:rPr>
              <w:t>保修服务：工程竣工后提供一定期限的保修期，保修期内出现因施工或材料问题导致的损坏，及时免费维修或更换。</w:t>
            </w:r>
          </w:p>
          <w:p>
            <w:pPr>
              <w:pStyle w:val="null3"/>
              <w:jc w:val="both"/>
            </w:pPr>
            <w:r>
              <w:rPr>
                <w:rFonts w:ascii="仿宋_GB2312" w:hAnsi="仿宋_GB2312" w:cs="仿宋_GB2312" w:eastAsia="仿宋_GB2312"/>
                <w:sz w:val="18"/>
              </w:rPr>
              <w:t>技术支持：向学校提供工程相关技术资料，对学校相关人员进行设施使用、维护方面的培训，确保正确操作和保养。</w:t>
            </w:r>
          </w:p>
          <w:p>
            <w:pPr>
              <w:pStyle w:val="null3"/>
              <w:jc w:val="both"/>
            </w:pPr>
            <w:r>
              <w:rPr>
                <w:rFonts w:ascii="仿宋_GB2312" w:hAnsi="仿宋_GB2312" w:cs="仿宋_GB2312" w:eastAsia="仿宋_GB2312"/>
                <w:sz w:val="18"/>
              </w:rPr>
              <w:t>安全管理：施工过程中严格遵守安全规范，设置安全警示标识，采取有效防护措施，保障施工人员及学校师生安全。做好施工区域与教学区域的隔离，避免意外发生。</w:t>
            </w:r>
          </w:p>
          <w:p>
            <w:pPr>
              <w:pStyle w:val="null3"/>
              <w:jc w:val="both"/>
            </w:pPr>
            <w:r>
              <w:rPr>
                <w:rFonts w:ascii="仿宋_GB2312" w:hAnsi="仿宋_GB2312" w:cs="仿宋_GB2312" w:eastAsia="仿宋_GB2312"/>
                <w:sz w:val="18"/>
              </w:rPr>
              <w:t>其他服务：施工中如需使用大型设备，规范操作，做好进出场及安拆安全管理。做好施工排水、降水工作，确保施工顺利进行。对已完成工程及设备做好保护，防止损坏。</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1.验收流程 1.1项目在竣工后，成交人应向采购人提交工程竣工报告，申请工程竣工验收，并将施工过程中相关资料提交采购人。1.2采购人收到工程竣工报告后，对符合竣工验收要求的工程，组织相关单位和其他有关方面的专家组成验收组共同验收，签署的工程竣工验收意见。1.3验收合格后，采购人出具《工程竣工验收报告》，并在建设行政主管部门备案。1.4验收不合格的成交单位，必须在接到通知后7个日历日内确保工程通过验收。如接到通知后7个日历日内验收仍不合格，采购人可提出索赔或取消其施工合同。2.验收标准按照国家、行业有关规范和要求执行。3.成交人承诺完全达到国家有关部门验收标准，并全部通过验收为交付使用的基本条件，验收过程中的一切费用由成交供应商承担。4.验收依据 4.1合同文本及合同补充文件（条款）。4.2磋商文件。4.3磋商响应文件。4.4工程量清单。4.5建筑工程施工质量验收统一标准。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本项目工期：自合同签订后60个日历日内施工完毕。2、运输、施工：成交人负责材料的运输、施工及其他伴随服务。3、施工要求：3.1成交人在施工期间应严格遵守国家、省、市有关防火、爆破和施工安全以及文明施工、深夜施工、环卫和城管等规定，建立规章制度和防护措施, 应按安全施工的要求，采取严格科学的安全措施，确保施工安全和第三者的安全，确保工程质量和生产安全。否则，由此造成的经济和法律责任均由成交人负责。3.2成交人应配合项目建设进度,向采购人提供施工组织计划、进度计划和施工作业计划，并签订施工安全责任书4、质量保证：4.1工程质保期符合文件要求及国家标准要求。成交人承诺的质保时间超过国家标准要求的，按其承诺时间质保。成交人承诺的质保期起始时间为终验合格之日。4.2工程质量等级达到合格或以上标准。4.3成交人应遵照国家规范规定的建筑工程施工质量标准及要求作出明确承诺。4.4在质量保证期内，成交人应具有良好、迅速的售后服务能力。5、合同实施：5.1.成交人应在合同签订后，依据采购人提供的平面布置图，向采购人提交项目图纸，审核合格后方可施工。5.2.图纸审核通过后7个日历日内安排人员（项目组成人员简历表所列）就施工工作等进行安排、部署。5.3.若因成交人原因未能在规定工期内完成合同规定的义务，由此对采购人造成的延误和一切损失，由成交人承担和赔偿。6、违约责任：6.1按《中华人民共和国民法典》中的相关条款执行。6.2未按合同要求提供工程质量或工程质量不能满足技术要求，采购人有权终止合同，并对供方违约行为进行追究，同时按《中华人民共和国政府采购法》的有关规定进行处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本项目采购标的对应的中小企业划分标准所属行业为（建筑业）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项目管理机构组成表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方案说明书.docx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往本项目的项目经理必须为本企业注册的建造师，具备建筑工程专业二级及以上注册建造师执业资格和有效的安全生产考核合格证书(B证)，提供2024年06月至今至少一个月供应商为其缴纳的社会保险的证明材料（五险一金提供一项即可），且未担任其它在建工程的项目经理，无不良信用记录。</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公司资质要求</w:t>
            </w:r>
          </w:p>
        </w:tc>
        <w:tc>
          <w:tcPr>
            <w:tcW w:type="dxa" w:w="3322"/>
          </w:tcPr>
          <w:p>
            <w:pPr>
              <w:pStyle w:val="null3"/>
            </w:pPr>
            <w:r>
              <w:rPr>
                <w:rFonts w:ascii="仿宋_GB2312" w:hAnsi="仿宋_GB2312" w:cs="仿宋_GB2312" w:eastAsia="仿宋_GB2312"/>
              </w:rPr>
              <w:t>具备建设行政主管部门核发的建筑工程施工总承包三级（含三级）及以上资质，具备有效的安全生产许可证；</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一年的可提供成立后任意时段的资产负债表），或其开标前三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提供开标截止时间前6个月内至少已缴纳1个月的完税证明，完税证明上应有代收机构或税务机关的公章或业务专用章。依法免税或新成立的供应商应提供相关文件证明；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时间前6个月内至少已缴存1个月的社会保障资金缴存单据或社保机构开具的社会保险参保缴费情况证明，单据或证明上应有社保机构或代收机构的公章或业务专用章。依法不需要缴纳社会保障资金或新成立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本项目不接受联合体投标，单位负责人为同一人或者存在直接控股、管理关系的不同投标人，不得参加同一合同项下的政府采购活动（提供非联合体投标声明，包括控股管理声明）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营业执照一致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除明确允许供应商可以自行编写的外，磋商响应文件未按照磋商文件给定的格式编制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w:t>
            </w:r>
          </w:p>
        </w:tc>
        <w:tc>
          <w:tcPr>
            <w:tcW w:type="dxa" w:w="3322"/>
          </w:tcPr>
          <w:p>
            <w:pPr>
              <w:pStyle w:val="null3"/>
            </w:pPr>
            <w:r>
              <w:rPr>
                <w:rFonts w:ascii="仿宋_GB2312" w:hAnsi="仿宋_GB2312" w:cs="仿宋_GB2312" w:eastAsia="仿宋_GB2312"/>
              </w:rPr>
              <w:t>针对同一项目提交两份或多份内容不同的磋商响应文件，未书面声明哪一份是有效的或出现选择性报价的</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限价</w:t>
            </w:r>
          </w:p>
        </w:tc>
        <w:tc>
          <w:tcPr>
            <w:tcW w:type="dxa" w:w="3322"/>
          </w:tcPr>
          <w:p>
            <w:pPr>
              <w:pStyle w:val="null3"/>
            </w:pPr>
            <w:r>
              <w:rPr>
                <w:rFonts w:ascii="仿宋_GB2312" w:hAnsi="仿宋_GB2312" w:cs="仿宋_GB2312" w:eastAsia="仿宋_GB2312"/>
              </w:rPr>
              <w:t>磋商报价超过采购预算/限价</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磋商有效期不符合磋商文件的要求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w:t>
            </w:r>
          </w:p>
        </w:tc>
        <w:tc>
          <w:tcPr>
            <w:tcW w:type="dxa" w:w="3322"/>
          </w:tcPr>
          <w:p>
            <w:pPr>
              <w:pStyle w:val="null3"/>
            </w:pPr>
            <w:r>
              <w:rPr>
                <w:rFonts w:ascii="仿宋_GB2312" w:hAnsi="仿宋_GB2312" w:cs="仿宋_GB2312" w:eastAsia="仿宋_GB2312"/>
              </w:rPr>
              <w:t>对磋商文件技术要求未作出明确响应，对不得偏离的要求是否作了实质性响应</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针对本项目提供的项目施工方案，内容包括但不限于①前期筹备全面部署②施工流程科学规划及成本控制精准高③安全管理全程覆盖 ④工程质量保证措施⑤施工机械设备配备⑥劳动力计划及主要材料供应计划计划效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针对本项目提供的项目管理机构及项目经理部组成，内容包括但不限于①项目管理机构②项目经理部组成③专业化项目经理部组建原则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确保安全生产的技术组织措施及应急预案</w:t>
            </w:r>
          </w:p>
        </w:tc>
        <w:tc>
          <w:tcPr>
            <w:tcW w:type="dxa" w:w="2492"/>
          </w:tcPr>
          <w:p>
            <w:pPr>
              <w:pStyle w:val="null3"/>
            </w:pPr>
            <w:r>
              <w:rPr>
                <w:rFonts w:ascii="仿宋_GB2312" w:hAnsi="仿宋_GB2312" w:cs="仿宋_GB2312" w:eastAsia="仿宋_GB2312"/>
              </w:rPr>
              <w:t>针对本项目确保安全生产的技术组织措施及应急预案，内容包括但不限于①确保安全生产的技术组织措施②应急预案③危险源分级管控与技术防护体系④安全防护与文明施工措施⑤多场景应急处置预案与演练机制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针对本项目确保文明施工的技术措施及环境保护措施，内容包括但不限于①确保文明施工的技术措施②环境保护措施③施工区域标准化封闭管理措施④精细化扬尘与噪音防控技术方案⑤施工废弃物分类处理与资源化利用措施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针对本项目施工进度计划及确保工期的技术措施，内容包括但不限于①施工进度计划②确保工期的技术措施③分阶段精细化施工进度计划编制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针对本项目雨季施工管理防范措施，内容包括但不限于①场地排水系统升级与动态监测措施②工序优化与防雨作业保障机制③雨季施工管理防范措施 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针对本项目垃圾清运方案，内容包括但不限于①清运管控与环境防护措施②垃圾清运方案 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针对本项目服务承诺，内容包括但不限于①服务过程中的相关承诺②投入材料质量承诺③质量保修期内的服务承诺④合理化建议 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7月以来类似项目业绩；每提供1份计2分，最高得8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