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版本号：XQSZB2025-05220250916002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三原县城关街道高渠初级中学后勤用房及附属工程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XQSZB2025-052</w:t>
      </w:r>
      <w:r>
        <w:br/>
      </w:r>
      <w:r>
        <w:br/>
      </w:r>
      <w:r>
        <w:br/>
      </w:r>
    </w:p>
    <w:p>
      <w:pPr>
        <w:pStyle w:val="null3"/>
        <w:jc w:val="center"/>
        <w:outlineLvl w:val="2"/>
      </w:pPr>
      <w:r>
        <w:rPr>
          <w:rFonts w:ascii="仿宋_GB2312" w:hAnsi="仿宋_GB2312" w:cs="仿宋_GB2312" w:eastAsia="仿宋_GB2312"/>
          <w:sz w:val="28"/>
          <w:b/>
        </w:rPr>
        <w:t>三原县高渠乡中学</w:t>
      </w:r>
    </w:p>
    <w:p>
      <w:pPr>
        <w:pStyle w:val="null3"/>
        <w:jc w:val="center"/>
        <w:outlineLvl w:val="2"/>
      </w:pPr>
      <w:r>
        <w:rPr>
          <w:rFonts w:ascii="仿宋_GB2312" w:hAnsi="仿宋_GB2312" w:cs="仿宋_GB2312" w:eastAsia="仿宋_GB2312"/>
          <w:sz w:val="28"/>
          <w:b/>
        </w:rPr>
        <w:t>陕西鑫仟顺工程项目管理有限公司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陕西鑫仟顺工程项目管理有限公司</w:t>
      </w:r>
      <w:r>
        <w:rPr>
          <w:rFonts w:ascii="仿宋_GB2312" w:hAnsi="仿宋_GB2312" w:cs="仿宋_GB2312" w:eastAsia="仿宋_GB2312"/>
        </w:rPr>
        <w:t>（以下简称“代理机构”）受</w:t>
      </w:r>
      <w:r>
        <w:rPr>
          <w:rFonts w:ascii="仿宋_GB2312" w:hAnsi="仿宋_GB2312" w:cs="仿宋_GB2312" w:eastAsia="仿宋_GB2312"/>
        </w:rPr>
        <w:t>三原县高渠乡中学</w:t>
      </w:r>
      <w:r>
        <w:rPr>
          <w:rFonts w:ascii="仿宋_GB2312" w:hAnsi="仿宋_GB2312" w:cs="仿宋_GB2312" w:eastAsia="仿宋_GB2312"/>
        </w:rPr>
        <w:t>委托，拟对</w:t>
      </w:r>
      <w:r>
        <w:rPr>
          <w:rFonts w:ascii="仿宋_GB2312" w:hAnsi="仿宋_GB2312" w:cs="仿宋_GB2312" w:eastAsia="仿宋_GB2312"/>
        </w:rPr>
        <w:t>三原县城关街道高渠初级中学后勤用房及附属工程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XQSZB2025-052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三原县城关街道高渠初级中学后勤用房及附属工程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新建后勤用房及附属工程，后勤用房建筑面积908.52㎡，框架结构，地上二层，包含建筑工程、电气工程及排水工程；附属工程包含消防水池、室外消火栓、室外给水及室外电气工程等。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采购包1（三原县城关街道高渠初级中学后勤用房及附属工程）：属于专门面向中小企业采购。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2、资质要求：供应商须具备建设行政主管部门颁发的建筑工程施工总承包三级及以上资质，并具备建设行政主管部门颁发的安全生产许可证；</w:t>
      </w:r>
    </w:p>
    <w:p>
      <w:pPr>
        <w:pStyle w:val="null3"/>
      </w:pPr>
      <w:r>
        <w:rPr>
          <w:rFonts w:ascii="仿宋_GB2312" w:hAnsi="仿宋_GB2312" w:cs="仿宋_GB2312" w:eastAsia="仿宋_GB2312"/>
        </w:rPr>
        <w:t>3、拟派项目负责人资质和专业要求。：证书等级：二级注册建造师； 专业：建筑工程； 补充说明：具有有效的安全生产考核合格证(B证)，且未担任其他在建工程项目的项目经理（提供无在建工程证明）；</w:t>
      </w:r>
    </w:p>
    <w:p>
      <w:pPr>
        <w:pStyle w:val="null3"/>
      </w:pPr>
      <w:r>
        <w:rPr>
          <w:rFonts w:ascii="仿宋_GB2312" w:hAnsi="仿宋_GB2312" w:cs="仿宋_GB2312" w:eastAsia="仿宋_GB2312"/>
        </w:rPr>
        <w:t>4、财务情况：提供2023年或2024年度经审计完整的财务审计报告（成立时间至提交磋商响应文件截止时间不足一年的可提供成立后任意时段的资产负债表）或磋商截止日前六个月内基本存款账户开户银行出具的资信证明（附开户许可证或开户证明）；</w:t>
      </w:r>
    </w:p>
    <w:p>
      <w:pPr>
        <w:pStyle w:val="null3"/>
      </w:pPr>
      <w:r>
        <w:rPr>
          <w:rFonts w:ascii="仿宋_GB2312" w:hAnsi="仿宋_GB2312" w:cs="仿宋_GB2312" w:eastAsia="仿宋_GB2312"/>
        </w:rPr>
        <w:t>5、纳税证明：提供磋商截止日前六个月内任意一个月的纳税证明或完税证明（增值税、印花税、城市维护建设费、企业所得税等一种或多种税种），依法免税的单位提供相关证明材料；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6、社保缴纳证明：提供磋商截止日前六个月内任意一个月的社保资金交纳证明，依法不需要缴纳社保资金的单位提供相关证明材料；</w:t>
      </w:r>
    </w:p>
    <w:p>
      <w:pPr>
        <w:pStyle w:val="null3"/>
      </w:pPr>
      <w:r>
        <w:rPr>
          <w:rFonts w:ascii="仿宋_GB2312" w:hAnsi="仿宋_GB2312" w:cs="仿宋_GB2312" w:eastAsia="仿宋_GB2312"/>
        </w:rPr>
        <w:t>7、具有履行合同所必需的设备和专业技术能力：提供具有履行合同所必需的设备和专业技术能力的承诺；</w:t>
      </w:r>
    </w:p>
    <w:p>
      <w:pPr>
        <w:pStyle w:val="null3"/>
      </w:pPr>
      <w:r>
        <w:rPr>
          <w:rFonts w:ascii="仿宋_GB2312" w:hAnsi="仿宋_GB2312" w:cs="仿宋_GB2312" w:eastAsia="仿宋_GB2312"/>
        </w:rPr>
        <w:t>8、无重大违法记录：参加本次政府采购活动前三年内在经营活动中没有重大违法记录的书面声明；</w:t>
      </w:r>
    </w:p>
    <w:p>
      <w:pPr>
        <w:pStyle w:val="null3"/>
      </w:pPr>
      <w:r>
        <w:rPr>
          <w:rFonts w:ascii="仿宋_GB2312" w:hAnsi="仿宋_GB2312" w:cs="仿宋_GB2312" w:eastAsia="仿宋_GB2312"/>
        </w:rPr>
        <w:t>9、法定代表人授权书/法定代表人身份证明：法定代表人授权书（附法定代表人、被授权人身份证复印件及授权代表在本单位缴纳社保的证明），法定代表人直接参加磋商，须提供法定代表人身份证明、法定代表人身份证复印件及在本单位缴纳社保的证明；</w:t>
      </w:r>
    </w:p>
    <w:p>
      <w:pPr>
        <w:pStyle w:val="null3"/>
      </w:pPr>
      <w:r>
        <w:rPr>
          <w:rFonts w:ascii="仿宋_GB2312" w:hAnsi="仿宋_GB2312" w:cs="仿宋_GB2312" w:eastAsia="仿宋_GB2312"/>
        </w:rPr>
        <w:t>10、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p>
      <w:pPr>
        <w:pStyle w:val="null3"/>
      </w:pPr>
      <w:r>
        <w:rPr>
          <w:rFonts w:ascii="仿宋_GB2312" w:hAnsi="仿宋_GB2312" w:cs="仿宋_GB2312" w:eastAsia="仿宋_GB2312"/>
        </w:rPr>
        <w:t>11、联合体：本项目不接受联合体磋商。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三原县高渠乡中学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咸阳市三原县城关街道三永路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18220405388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陕西鑫仟顺工程项目管理有限公司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陕西省咸阳市秦都区滨河西路大秦御港城10号楼1608室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张浩、刘昕娅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029-33253042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席股长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采购包1：3,102,634.72元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管理暂行办法》（计价格[2002]1980号）和国家发展和改革委员会办公厅颁发的《关于招标代理服务收费有关问题的通知》（发改办价格[2003]857号）的有关规定，按标准收费执行。 2.成交单位在领取成交通知书前，须向采购代理机构一次性支付招标代理服务费。 3.招标代理服务费交纳信息： 户 名：陕西鑫仟顺工程项目管理有限公司 开户行：中国光大银行股份有限公司咸阳分行 账 号：55930188000037709 请成交供应商按照要求将招标代理服务费汇入以上指定账户，如因自身原因发生错误，产生的不利后果均由成交供应商自行承担。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三原县高渠乡中学</w:t>
      </w:r>
      <w:r>
        <w:rPr>
          <w:rFonts w:ascii="仿宋_GB2312" w:hAnsi="仿宋_GB2312" w:cs="仿宋_GB2312" w:eastAsia="仿宋_GB2312"/>
        </w:rPr>
        <w:t>和</w:t>
      </w:r>
      <w:r>
        <w:rPr>
          <w:rFonts w:ascii="仿宋_GB2312" w:hAnsi="仿宋_GB2312" w:cs="仿宋_GB2312" w:eastAsia="仿宋_GB2312"/>
        </w:rPr>
        <w:t>陕西鑫仟顺工程项目管理有限公司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三原县高渠乡中学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陕西鑫仟顺工程项目管理有限公司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三原县高渠乡中学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陕西鑫仟顺工程项目管理有限公司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达到并实现预期绩效目标。</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联系人：张浩、刘昕娅</w:t>
      </w:r>
    </w:p>
    <w:p>
      <w:pPr>
        <w:pStyle w:val="null3"/>
      </w:pPr>
      <w:r>
        <w:rPr>
          <w:rFonts w:ascii="仿宋_GB2312" w:hAnsi="仿宋_GB2312" w:cs="仿宋_GB2312" w:eastAsia="仿宋_GB2312"/>
        </w:rPr>
        <w:t>联系电话：029-33253042</w:t>
      </w:r>
    </w:p>
    <w:p>
      <w:pPr>
        <w:pStyle w:val="null3"/>
      </w:pPr>
      <w:r>
        <w:rPr>
          <w:rFonts w:ascii="仿宋_GB2312" w:hAnsi="仿宋_GB2312" w:cs="仿宋_GB2312" w:eastAsia="仿宋_GB2312"/>
        </w:rPr>
        <w:t>地址：陕西省咸阳市秦都区滨河西路大秦御港城10号楼1608室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3,102,634.72</w:t>
      </w:r>
    </w:p>
    <w:p>
      <w:pPr>
        <w:pStyle w:val="null3"/>
      </w:pPr>
      <w:r>
        <w:rPr>
          <w:rFonts w:ascii="仿宋_GB2312" w:hAnsi="仿宋_GB2312" w:cs="仿宋_GB2312" w:eastAsia="仿宋_GB2312"/>
        </w:rPr>
        <w:t>采购包最高限价（元）: 3,102,634.72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三原县城关街道高渠初级中学后勤用房及附属工程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3,102,634.72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标的名称：三原县城关街道高渠初级中学后勤用房及附属工程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项目名称： 三原县城关街道高渠初级中学后勤用房及附属工程</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项目概况：新建后勤用房及附属工程，后勤用房建筑面积908.52㎡，框架结构，地上二层，包含建筑工程、电气工程及排水工程；附属工程包含消防水池、室外消火栓、室外给水及室外电气工程等。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工期：200日历天。</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质量要求：符合规定及设计要求，达到合格标准。</w:t>
            </w:r>
          </w:p>
          <w:p>
            <w:pPr>
              <w:pStyle w:val="null3"/>
              <w:jc w:val="both"/>
            </w:pPr>
            <w:r>
              <w:rPr>
                <w:rFonts w:ascii="仿宋_GB2312" w:hAnsi="仿宋_GB2312" w:cs="仿宋_GB2312" w:eastAsia="仿宋_GB2312"/>
                <w:sz w:val="21"/>
              </w:rPr>
              <w:t>5、付款方式：工程进度款每月按实际完成工程量的80%付款，工程竣工并审计结果确认后，工程款支付至结算总价的97%，剩余3%的结算款待工程质量保质期满一年后无息返还剩余的质保金。</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1"/>
              </w:rPr>
              <w:t>最高限价编制依据</w:t>
            </w:r>
          </w:p>
          <w:p>
            <w:pPr>
              <w:pStyle w:val="null3"/>
              <w:jc w:val="both"/>
            </w:pPr>
            <w:r>
              <w:rPr>
                <w:rFonts w:ascii="仿宋_GB2312" w:hAnsi="仿宋_GB2312" w:cs="仿宋_GB2312" w:eastAsia="仿宋_GB2312"/>
                <w:sz w:val="21"/>
              </w:rPr>
              <w:t>1、多贝建筑设计（西安）有限公司施工图；</w:t>
            </w:r>
          </w:p>
          <w:p>
            <w:pPr>
              <w:pStyle w:val="null3"/>
              <w:jc w:val="both"/>
            </w:pPr>
            <w:r>
              <w:rPr>
                <w:rFonts w:ascii="仿宋_GB2312" w:hAnsi="仿宋_GB2312" w:cs="仿宋_GB2312" w:eastAsia="仿宋_GB2312"/>
                <w:sz w:val="21"/>
              </w:rPr>
              <w:t>2、《2009陕西省建设工程工程量清单计价规则》、《2004陕西省建筑装饰、安装工程消耗量定额》及补充定额、《2009陕西省建筑装饰、安装工程价目表》、《2009陕西省建设工程工程量清单计价费率》及其相关文件；</w:t>
            </w:r>
          </w:p>
          <w:p>
            <w:pPr>
              <w:pStyle w:val="null3"/>
              <w:jc w:val="both"/>
            </w:pPr>
            <w:r>
              <w:rPr>
                <w:rFonts w:ascii="仿宋_GB2312" w:hAnsi="仿宋_GB2312" w:cs="仿宋_GB2312" w:eastAsia="仿宋_GB2312"/>
                <w:sz w:val="21"/>
              </w:rPr>
              <w:t>3、扬尘污染治理费按“ 陕建发【2017】270号” 文件执行；</w:t>
            </w:r>
          </w:p>
          <w:p>
            <w:pPr>
              <w:pStyle w:val="null3"/>
              <w:jc w:val="both"/>
            </w:pPr>
            <w:r>
              <w:rPr>
                <w:rFonts w:ascii="仿宋_GB2312" w:hAnsi="仿宋_GB2312" w:cs="仿宋_GB2312" w:eastAsia="仿宋_GB2312"/>
                <w:sz w:val="21"/>
              </w:rPr>
              <w:t>4、安全文明施工费按“ 陕建发【2019】1246号” 文件执行；</w:t>
            </w:r>
          </w:p>
          <w:p>
            <w:pPr>
              <w:pStyle w:val="null3"/>
              <w:jc w:val="both"/>
            </w:pPr>
            <w:r>
              <w:rPr>
                <w:rFonts w:ascii="仿宋_GB2312" w:hAnsi="仿宋_GB2312" w:cs="仿宋_GB2312" w:eastAsia="仿宋_GB2312"/>
                <w:sz w:val="21"/>
              </w:rPr>
              <w:t>5、劳保统筹费按“ 陕建发【2021】1021号” 文件执行，其他规费按规定计取；</w:t>
            </w:r>
          </w:p>
          <w:p>
            <w:pPr>
              <w:pStyle w:val="null3"/>
              <w:jc w:val="both"/>
            </w:pPr>
            <w:r>
              <w:rPr>
                <w:rFonts w:ascii="仿宋_GB2312" w:hAnsi="仿宋_GB2312" w:cs="仿宋_GB2312" w:eastAsia="仿宋_GB2312"/>
                <w:sz w:val="21"/>
              </w:rPr>
              <w:t>6、综合人工单价调整按“ 陕建发【2021】1097号” 文件执行；</w:t>
            </w:r>
          </w:p>
          <w:p>
            <w:pPr>
              <w:pStyle w:val="null3"/>
              <w:jc w:val="both"/>
            </w:pPr>
            <w:r>
              <w:rPr>
                <w:rFonts w:ascii="仿宋_GB2312" w:hAnsi="仿宋_GB2312" w:cs="仿宋_GB2312" w:eastAsia="仿宋_GB2312"/>
                <w:sz w:val="21"/>
              </w:rPr>
              <w:t>7、税金及综合系数的调整按“ 陕建发【2019】45号” 文件执行；</w:t>
            </w:r>
          </w:p>
          <w:p>
            <w:pPr>
              <w:pStyle w:val="null3"/>
              <w:jc w:val="both"/>
            </w:pPr>
            <w:r>
              <w:rPr>
                <w:rFonts w:ascii="仿宋_GB2312" w:hAnsi="仿宋_GB2312" w:cs="仿宋_GB2312" w:eastAsia="仿宋_GB2312"/>
                <w:sz w:val="21"/>
              </w:rPr>
              <w:t>8、材料价格参照《咸阳工程造价信息》2025年第3期及市场调查价；</w:t>
            </w:r>
          </w:p>
          <w:p>
            <w:pPr>
              <w:pStyle w:val="null3"/>
              <w:jc w:val="both"/>
            </w:pPr>
            <w:r>
              <w:rPr>
                <w:rFonts w:ascii="仿宋_GB2312" w:hAnsi="仿宋_GB2312" w:cs="仿宋_GB2312" w:eastAsia="仿宋_GB2312"/>
                <w:sz w:val="21"/>
              </w:rPr>
              <w:t>9、采用广联达计价软件GCCP6.0[版本6.4100.23.122]编制。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本项目采购人名称为：三原县城关街道高渠初级中学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经审计完整的财务审计报告（成立时间至提交磋商响应文件截止时间不足一年的可提供成立后任意时段的资产负债表）或磋商截止日前六个月内基本存款账户开户银行出具的资信证明（附开户许可证或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供应商须具备建设行政主管部门颁发的建筑工程施工总承包三级及以上资质，并具备建设行政主管部门颁发的安全生产许可证；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证书等级：二级注册建造师； 专业：建筑工程； 补充说明：具有有效的安全生产考核合格证(B证)，且未担任其他在建工程项目的项目经理（提供无在建工程证明）；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财务情况</w:t>
            </w:r>
          </w:p>
        </w:tc>
        <w:tc>
          <w:tcPr>
            <w:tcW w:type="dxa" w:w="3322"/>
          </w:tcPr>
          <w:p>
            <w:pPr>
              <w:pStyle w:val="null3"/>
            </w:pPr>
            <w:r>
              <w:rPr>
                <w:rFonts w:ascii="仿宋_GB2312" w:hAnsi="仿宋_GB2312" w:cs="仿宋_GB2312" w:eastAsia="仿宋_GB2312"/>
              </w:rPr>
              <w:t>提供2023年或2024年度经审计完整的财务审计报告（成立时间至提交磋商响应文件截止时间不足一年的可提供成立后任意时段的资产负债表）或磋商截止日前六个月内基本存款账户开户银行出具的资信证明（附开户许可证或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法定代表人授权书（附法定代表人、被授权人身份证复印件及授权代表在本单位缴纳社保的证明），法定代表人直接参加磋商，须提供法定代表人身份证明、法定代表人身份证复印件及在本单位缴纳社保的证明；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已标价工程量清单 中小企业声明函 磋商方案说明书.docx 商务、技术偏离表.docx 资格证明文件.docx 供应商承诺书.docx 响应文件封面 首次磋商报价一览表.docx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应符合“磋商文件格式”要求。</w:t>
            </w:r>
          </w:p>
        </w:tc>
        <w:tc>
          <w:tcPr>
            <w:tcW w:type="dxa" w:w="1661"/>
          </w:tcPr>
          <w:p>
            <w:pPr>
              <w:pStyle w:val="null3"/>
            </w:pPr>
            <w:r>
              <w:rPr>
                <w:rFonts w:ascii="仿宋_GB2312" w:hAnsi="仿宋_GB2312" w:cs="仿宋_GB2312" w:eastAsia="仿宋_GB2312"/>
              </w:rPr>
              <w:t>已标价工程量清单 供应商认为需要提交的其他资料.docx 中小企业声明函 磋商方案说明书.docx 商务、技术偏离表.docx 资格证明文件.docx 供应商承诺书.docx 首次磋商报价一览表.docx 响应文件封面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首次磋商报价一览表.docx 已标价工程量清单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首次磋商报价一览表.docx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应满足磋商文件中要求的质量</w:t>
            </w:r>
          </w:p>
        </w:tc>
        <w:tc>
          <w:tcPr>
            <w:tcW w:type="dxa" w:w="1661"/>
          </w:tcPr>
          <w:p>
            <w:pPr>
              <w:pStyle w:val="null3"/>
            </w:pPr>
            <w:r>
              <w:rPr>
                <w:rFonts w:ascii="仿宋_GB2312" w:hAnsi="仿宋_GB2312" w:cs="仿宋_GB2312" w:eastAsia="仿宋_GB2312"/>
              </w:rPr>
              <w:t>首次磋商报价一览表.docx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首次磋商报价一览表.docx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供应商的项目经理部组成及劳动力投入配备合理，完全满足工作要求，得12分； 供应商的项目经理部组成及劳动力投入配备较为合理，基本满足工作要求，得8分； 供应商的项目经理部组成及劳动力投入配备不合理、配置较差，未能完全满足工作要求,得4分。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 施工措施、 环境保护措 施及确保治 污减霾和防 尘污染的技 术组织措施</w:t>
            </w:r>
          </w:p>
        </w:tc>
        <w:tc>
          <w:tcPr>
            <w:tcW w:type="dxa" w:w="2492"/>
          </w:tcPr>
          <w:p>
            <w:pPr>
              <w:pStyle w:val="null3"/>
            </w:pPr>
            <w:r>
              <w:rPr>
                <w:rFonts w:ascii="仿宋_GB2312" w:hAnsi="仿宋_GB2312" w:cs="仿宋_GB2312" w:eastAsia="仿宋_GB2312"/>
              </w:rPr>
              <w:t>供应商有完善的安全、文明施工措施、环境保护措施及确保治污减霾和防尘污染的技术组织措施，措施编制完整合理、可操作性强，得9分； 供应商的安全、文明施工措施、环境保护措施及确保治污减霾和防尘污染的技术组织措施基本合理、操作性一般，得6分； 供应商提供的安全、文明施工措施、环境保护措施及确保治污减霾和防尘污染的技术组织措施不尽完善、操作性不强、不能完全满足工作要求，得3分。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施工质量及 施工进度保 证措施、明 确的项目职 责与分工</w:t>
            </w:r>
          </w:p>
        </w:tc>
        <w:tc>
          <w:tcPr>
            <w:tcW w:type="dxa" w:w="2492"/>
          </w:tcPr>
          <w:p>
            <w:pPr>
              <w:pStyle w:val="null3"/>
            </w:pPr>
            <w:r>
              <w:rPr>
                <w:rFonts w:ascii="仿宋_GB2312" w:hAnsi="仿宋_GB2312" w:cs="仿宋_GB2312" w:eastAsia="仿宋_GB2312"/>
              </w:rPr>
              <w:t>供应商有完善的施工质量及施工进度保证措施、明确的项目职责与分工，能有效地保证服务质量，确保按时按量完成服务工作，得9分； 供应商的施工质量及施工进度保证措施完善、程序措施较为规范合理，得6分； 供应商的施工质量及施工进度保证措施不尽完善、不能完全满足工作要求，得3分。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具有详细、实用、可行的突发事件处理预案措施，包括但不限于工伤事故、劳务纠纷；突发事件应急预案，详细、实用、切实可行性强得9分； 突发事件应急预案，较详细、较实用、可行性较强得6分； 突发事件应急预案，实用性一般，可行性较弱得3分。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提供的项目施工方案详细、合理、全面，得9分； 提供的项目施工方案较详细、基本合理，得6分； 提供的项目施工方案有缺陷或不太合理，前后矛盾，得3分。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主要材料供应计划及施工机械配备投入计划</w:t>
            </w:r>
          </w:p>
        </w:tc>
        <w:tc>
          <w:tcPr>
            <w:tcW w:type="dxa" w:w="2492"/>
          </w:tcPr>
          <w:p>
            <w:pPr>
              <w:pStyle w:val="null3"/>
            </w:pPr>
            <w:r>
              <w:rPr>
                <w:rFonts w:ascii="仿宋_GB2312" w:hAnsi="仿宋_GB2312" w:cs="仿宋_GB2312" w:eastAsia="仿宋_GB2312"/>
              </w:rPr>
              <w:t>供应商所制定的主要材料供应计划及施工机械配备投入计划详细合理，可操作性强，机械工具配置齐全、情况良好。得9分； 供应商所制定的主要材料供应计划及施工机械配备投入计划较详细合理，可操作性一般，基本满足工作要求，得6分。 供应商所制定的主要材料供应计划及施工机械配备投入计划基本合理，操作性差，不能满足工作要求，得3分。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根据供应商提供的服务承诺（包括但不限于工期、工程质量、安全方面）的情况赋分。描述详尽、具体、可行性强得9分； 描述较详尽、较具体、可行性一般得6分； 描述简单、不具体计3分。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2022年09月01日至今类似项目业绩，每提供1份得2分，最高得4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详见附件：商务、技术偏离表.docx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详见附件：供应商认为需要提交的其他资料.docx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详见附件：第8章 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