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版本号：SXKKSYFGS2025-038.2B120250929001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三原县医院外科楼中央空调和洁净空调、消防中控系统管理委托第三方维保管理政府采购项目(二次)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SXKKSYFGS2025-038.2B1</w:t>
      </w:r>
      <w:r>
        <w:br/>
      </w:r>
      <w:r>
        <w:br/>
      </w:r>
      <w:r>
        <w:br/>
      </w:r>
    </w:p>
    <w:p>
      <w:pPr>
        <w:pStyle w:val="null3"/>
        <w:jc w:val="center"/>
        <w:outlineLvl w:val="2"/>
      </w:pPr>
      <w:r>
        <w:rPr>
          <w:rFonts w:ascii="仿宋_GB2312" w:hAnsi="仿宋_GB2312" w:cs="仿宋_GB2312" w:eastAsia="仿宋_GB2312"/>
          <w:sz w:val="28"/>
          <w:b/>
        </w:rPr>
        <w:t>三原县卫生健康局</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三原县卫生健康局</w:t>
      </w:r>
      <w:r>
        <w:rPr>
          <w:rFonts w:ascii="仿宋_GB2312" w:hAnsi="仿宋_GB2312" w:cs="仿宋_GB2312" w:eastAsia="仿宋_GB2312"/>
        </w:rPr>
        <w:t>委托，拟对</w:t>
      </w:r>
      <w:r>
        <w:rPr>
          <w:rFonts w:ascii="仿宋_GB2312" w:hAnsi="仿宋_GB2312" w:cs="仿宋_GB2312" w:eastAsia="仿宋_GB2312"/>
        </w:rPr>
        <w:t>三原县医院外科楼中央空调和洁净空调、消防中控系统管理委托第三方维保管理政府采购项目(二次)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SXKKSYFGS2025-038.2B1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三原县医院外科楼中央空调和洁净空调、消防中控系统管理委托第三方维保管理政府采购项目(二次)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医院消防中控室管理维护系统，聚焦医院消防中控室日常卫生清洁工作，旨在通过规范清洁流程，保障中控室环境整洁，为消防控制设备稳定运行提供基础环境支持。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采购包1（三原县医院消防中控系统管理委托第三方维保管理政府采购项目）：属于专门面向null采购。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7、信用记录：应商被“信用中国”网站列入失信被执行人、重大税收违法案件当事人名单的,供应商被“中国政府采购网”网站列入政府采购严重违法失信名单的，不得参与本项目投标。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8、承诺：提供具有履行合同所必需的设备和专业技术能力的承诺函。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三原县卫生健康局经办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02932102136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陕西省西安市未央区陕西省西安市未央区凤城南路萧家巷未央分局备勤公寓楼4单元401室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 ，由成交供应商支付采购代理服务费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三原县卫生健康局</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地址：陕西省咸阳市三原县城关街道办事处冶金大道和平村华阳物流斜对面一号会议室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医院消防中控室管理维护系统，聚焦医院消防中控室日常卫生清洁工作，旨在通过规范清洁流程，保障中控室环境整洁，为消防控制设备稳定运行提供基础环境支持。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187,000.00</w:t>
      </w:r>
    </w:p>
    <w:p>
      <w:pPr>
        <w:pStyle w:val="null3"/>
      </w:pPr>
      <w:r>
        <w:rPr>
          <w:rFonts w:ascii="仿宋_GB2312" w:hAnsi="仿宋_GB2312" w:cs="仿宋_GB2312" w:eastAsia="仿宋_GB2312"/>
        </w:rPr>
        <w:t>采购包最高限价（元）: 187,000.00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三原县医院消防中控系统管理委托第三方维保管理政府采购项目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标的名称：三原县医院消防中控系统管理委托第三方维保管理政府采购项目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一、技术参数</w:t>
            </w:r>
            <w:r>
              <w:br/>
            </w:r>
            <w:r>
              <w:rPr>
                <w:rFonts w:ascii="仿宋_GB2312" w:hAnsi="仿宋_GB2312" w:cs="仿宋_GB2312" w:eastAsia="仿宋_GB2312"/>
                <w:sz w:val="24"/>
                <w:b/>
              </w:rPr>
              <w:t xml:space="preserve"> 1. 清洁工具选择：地面清洁工具需具备防尘、吸水且不产生纤维脱落特性，避免清洁过程中造成二次扬尘；设备表面清洁工具采用质地柔软、无划痕的专用软布，确保不损伤设备外壳涂层及显示屏表面；清洁剂选用中性配方，无腐蚀性、无刺激性气味，且不含有可能影响设备电路的导电成分，避免对设备材质及运行环境造成损害。</w:t>
            </w:r>
            <w:r>
              <w:br/>
            </w:r>
            <w:r>
              <w:rPr>
                <w:rFonts w:ascii="仿宋_GB2312" w:hAnsi="仿宋_GB2312" w:cs="仿宋_GB2312" w:eastAsia="仿宋_GB2312"/>
                <w:sz w:val="24"/>
                <w:b/>
              </w:rPr>
              <w:t xml:space="preserve"> 2. 清洁操作规范：设备表面清洁需遵循“由上至下、由外至内”的操作路径，优先清洁设备非操作区域，再逐步清理控制台及按钮周边，规避触碰设备运行关键部件；地面清洁需沿固定方向推进，确保覆盖设备底部、机柜间隙等隐蔽区域，避免遗漏灰尘堆积死角；门窗及附属设施清洁时，需采用适配的清洁方式，保证玻璃透明无雾、墙面无污渍残留、通风口无灰尘堵塞。</w:t>
            </w:r>
            <w:r>
              <w:br/>
            </w:r>
            <w:r>
              <w:rPr>
                <w:rFonts w:ascii="仿宋_GB2312" w:hAnsi="仿宋_GB2312" w:cs="仿宋_GB2312" w:eastAsia="仿宋_GB2312"/>
                <w:sz w:val="24"/>
                <w:b/>
              </w:rPr>
              <w:t xml:space="preserve">  二、性能指标</w:t>
            </w:r>
            <w:r>
              <w:br/>
            </w:r>
            <w:r>
              <w:rPr>
                <w:rFonts w:ascii="仿宋_GB2312" w:hAnsi="仿宋_GB2312" w:cs="仿宋_GB2312" w:eastAsia="仿宋_GB2312"/>
                <w:sz w:val="24"/>
                <w:b/>
              </w:rPr>
              <w:t xml:space="preserve"> 1. 清洁效果指标：清洁后中控室整体环境无可见灰尘、污渍及杂物，地面无明显印记且触感干爽；设备表面无指纹、水渍及灰尘附着，显示屏透光性良好，无清洁痕迹；附属设施表面色泽均匀，无清洁试剂残留痕迹，通风口通风顺畅无阻塞，照明灯具表面洁净无影响亮度的遮挡物。</w:t>
            </w:r>
            <w:r>
              <w:br/>
            </w:r>
            <w:r>
              <w:rPr>
                <w:rFonts w:ascii="仿宋_GB2312" w:hAnsi="仿宋_GB2312" w:cs="仿宋_GB2312" w:eastAsia="仿宋_GB2312"/>
                <w:sz w:val="24"/>
                <w:b/>
              </w:rPr>
              <w:t xml:space="preserve"> 2. 安全保障指标：清洁过程中不影响消防中控设备正常运行，无因清洁操作导致的设备报警、停机或功能异常情况；清洁后设备周边无清洁工具、试剂等物品遗留，不阻碍应急情况下的人员操作及设备维护通道；清洁操作不会对中控室内环境温湿度造成异常波动，不破坏设备运行所需的稳定环境条件。</w:t>
            </w:r>
            <w:r>
              <w:br/>
            </w:r>
            <w:r>
              <w:rPr>
                <w:rFonts w:ascii="仿宋_GB2312" w:hAnsi="仿宋_GB2312" w:cs="仿宋_GB2312" w:eastAsia="仿宋_GB2312"/>
                <w:sz w:val="24"/>
                <w:b/>
              </w:rPr>
              <w:t xml:space="preserve"> 3. 持续性指标：清洁效果需保持稳定，在常规使用频率下，清洁后中控室环境及设备表面不易快速积累灰尘，可维持整洁状态直至下次清洁周期；清洁操作形成的规范流程可长期复用，不同清洁人员按标准操作时，能保持一致的清洁质量，无明显效果差异。</w:t>
            </w:r>
          </w:p>
          <w:p>
            <w:pPr>
              <w:pStyle w:val="null3"/>
              <w:ind w:firstLine="36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项目按照计划工期完成后，达到设计要求并符合相关规定及验收标准，经甲方组织验收满足项目要求达到合格质量</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合同到期后的最后一个月内付清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响应文件数量</w:t>
            </w:r>
          </w:p>
        </w:tc>
        <w:tc>
          <w:tcPr>
            <w:tcW w:type="dxa" w:w="3322"/>
          </w:tcPr>
          <w:p>
            <w:pPr>
              <w:pStyle w:val="null3"/>
            </w:pPr>
            <w:r>
              <w:rPr>
                <w:rFonts w:ascii="仿宋_GB2312" w:hAnsi="仿宋_GB2312" w:cs="仿宋_GB2312" w:eastAsia="仿宋_GB2312"/>
              </w:rPr>
              <w:t>磋商响应文件不符合磋商文件要求的数量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针对同一项目提交两份或多份内容不同的磋商响应文件，未书面声明哪一份是有效的或出现选择性报价的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限价</w:t>
            </w:r>
          </w:p>
        </w:tc>
        <w:tc>
          <w:tcPr>
            <w:tcW w:type="dxa" w:w="3322"/>
          </w:tcPr>
          <w:p>
            <w:pPr>
              <w:pStyle w:val="null3"/>
            </w:pPr>
            <w:r>
              <w:rPr>
                <w:rFonts w:ascii="仿宋_GB2312" w:hAnsi="仿宋_GB2312" w:cs="仿宋_GB2312" w:eastAsia="仿宋_GB2312"/>
              </w:rPr>
              <w:t>磋商报价超过采购预算/限价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 xml:space="preserve"> 针对本项目配备满足专业要求的维护人员、维护工具、维护人员专业程度及维保工具清单响应。 维护人员配备合理及维护设备配备齐全得4分； 维护人员配及维保设备配备基本齐全得2分；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针对本项目提供的维保方案，内容包括但不限于①设备信息全面梳理②分阶段定期维护计划③精细化维护内容制定④应急故障处理预案⑤维护保障机制⑥维护效果评估体系⑦操作人员培训计划⑧维保工作持续改进机制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响应与处理效率</w:t>
            </w:r>
          </w:p>
        </w:tc>
        <w:tc>
          <w:tcPr>
            <w:tcW w:type="dxa" w:w="2492"/>
          </w:tcPr>
          <w:p>
            <w:pPr>
              <w:pStyle w:val="null3"/>
            </w:pPr>
            <w:r>
              <w:rPr>
                <w:rFonts w:ascii="仿宋_GB2312" w:hAnsi="仿宋_GB2312" w:cs="仿宋_GB2312" w:eastAsia="仿宋_GB2312"/>
              </w:rPr>
              <w:t>针对本项目提供的响应与处理效率，内容包括但不限于①多级响应时效承诺②快速到场机制③问题分级处理流程④远程技术支持前置⑤应急通信保障方案⑥问题处理进度实时反馈⑦维修工具与备件随车携带⑧响应与处理效率考核机制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重点难点分析和合理化建议</w:t>
            </w:r>
          </w:p>
        </w:tc>
        <w:tc>
          <w:tcPr>
            <w:tcW w:type="dxa" w:w="2492"/>
          </w:tcPr>
          <w:p>
            <w:pPr>
              <w:pStyle w:val="null3"/>
            </w:pPr>
            <w:r>
              <w:rPr>
                <w:rFonts w:ascii="仿宋_GB2312" w:hAnsi="仿宋_GB2312" w:cs="仿宋_GB2312" w:eastAsia="仿宋_GB2312"/>
              </w:rPr>
              <w:t>针对本项目提供有①重点分析②难点分析③针对所提出的重点、难点有相应的解决方案④针对本项目服务内容及特点提出的合理化建议。每项满分2分，缺项不得分，每项内容存在缺陷，扣1分。缺陷是指内容不合理、虽有内容但不完善、内容表述前后不一致、套用其他项目方案或与项目需求不匹配及其他不利于项目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项目质量保障体系</w:t>
            </w:r>
          </w:p>
        </w:tc>
        <w:tc>
          <w:tcPr>
            <w:tcW w:type="dxa" w:w="2492"/>
          </w:tcPr>
          <w:p>
            <w:pPr>
              <w:pStyle w:val="null3"/>
            </w:pPr>
            <w:r>
              <w:rPr>
                <w:rFonts w:ascii="仿宋_GB2312" w:hAnsi="仿宋_GB2312" w:cs="仿宋_GB2312" w:eastAsia="仿宋_GB2312"/>
              </w:rPr>
              <w:t>针对本项目提供的项目质量保障体系，内容包括但不限于①质量目标②质量控制体系③内部审核制度④外部监督机制⑤质量保障措施⑥多维度质量监督等内容。方案内容详细完整、针对性强、可行性高，符合项目实际要求。每项满分2分，缺项不得分，每项内容存在缺陷，扣1分。缺陷是指内容不合理、虽有内容但不完善、内 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维保保障措施</w:t>
            </w:r>
          </w:p>
        </w:tc>
        <w:tc>
          <w:tcPr>
            <w:tcW w:type="dxa" w:w="2492"/>
          </w:tcPr>
          <w:p>
            <w:pPr>
              <w:pStyle w:val="null3"/>
            </w:pPr>
            <w:r>
              <w:rPr>
                <w:rFonts w:ascii="仿宋_GB2312" w:hAnsi="仿宋_GB2312" w:cs="仿宋_GB2312" w:eastAsia="仿宋_GB2312"/>
              </w:rPr>
              <w:t>针对本项目提供的维保保障措施，内容包括但不限于①全链条配件管控②标准化维保工艺体系③多层级验收机制④维保后跟踪与回溯⑤专业维保团队保障⑥风险防控与应急响应⑦改进与奖惩激励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延伸服务实用性</w:t>
            </w:r>
          </w:p>
        </w:tc>
        <w:tc>
          <w:tcPr>
            <w:tcW w:type="dxa" w:w="2492"/>
          </w:tcPr>
          <w:p>
            <w:pPr>
              <w:pStyle w:val="null3"/>
            </w:pPr>
            <w:r>
              <w:rPr>
                <w:rFonts w:ascii="仿宋_GB2312" w:hAnsi="仿宋_GB2312" w:cs="仿宋_GB2312" w:eastAsia="仿宋_GB2312"/>
              </w:rPr>
              <w:t>针对本项目提供的项目质量保障体系，内容包括但不限于①设备全周期监测与预警②精细化维保档案支持管理决策等内容。方案内容详细完整、针对性强、可行性高，符合项目实际要求。每项满分2.5分，缺项不得分，每项内容存在缺陷，扣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针对本项目提供的项目安全保障方案，内容包括但不限于①患者信息与诊疗安全保障②现场作业安全管控等内容。方案内容详细完整、针对性强、可行性高，符合项目实际要求。每项满分2.5分，缺项不得分，每项内容存在缺陷，扣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的项目售后服务，内容包括但不限于①服务内容②服务响应时间③服务期限④后续服务保障能力⑤服务承诺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印发《政府采购竞争性磋商采购方式管理暂行办法》的通知财库〔2014〕214号的有关规定：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