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版本号：HYGJ-XF-57520260121001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三原县嵯峨镇大盘村等7村市级占补平衡补充耕地项目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HYGJ-XF-575</w:t>
      </w:r>
      <w:r>
        <w:br/>
      </w:r>
      <w:r>
        <w:br/>
      </w:r>
      <w:r>
        <w:br/>
      </w:r>
    </w:p>
    <w:p>
      <w:pPr>
        <w:pStyle w:val="null3"/>
        <w:jc w:val="center"/>
        <w:outlineLvl w:val="2"/>
      </w:pPr>
      <w:r>
        <w:rPr>
          <w:rFonts w:ascii="仿宋_GB2312" w:hAnsi="仿宋_GB2312" w:cs="仿宋_GB2312" w:eastAsia="仿宋_GB2312"/>
          <w:sz w:val="28"/>
          <w:b/>
        </w:rPr>
        <w:t>三原县自然资源局</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三原县自然资源局</w:t>
      </w:r>
      <w:r>
        <w:rPr>
          <w:rFonts w:ascii="仿宋_GB2312" w:hAnsi="仿宋_GB2312" w:cs="仿宋_GB2312" w:eastAsia="仿宋_GB2312"/>
        </w:rPr>
        <w:t>委托，拟对</w:t>
      </w:r>
      <w:r>
        <w:rPr>
          <w:rFonts w:ascii="仿宋_GB2312" w:hAnsi="仿宋_GB2312" w:cs="仿宋_GB2312" w:eastAsia="仿宋_GB2312"/>
        </w:rPr>
        <w:t>三原县嵯峨镇大盘村等7村市级占补平衡补充耕地项目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HYGJ-XF-575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三原县嵯峨镇大盘村等7村市级占补平衡补充耕地项目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三原县嵯峨镇大盘村等7村市级占补平衡补充耕地项目设计服务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采购包1（三原县嵯峨镇大盘村等7村市级占补平衡补充耕地项目设计服务）：属于专门面向中小企业采购。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1、营业执照：具有合法有效的营业执照、组织机构代码证、税务登记证（或统一社会信用代码的营业执照）；供应商需在项目电子化交易系统中按要求上传相应证明文件并进行电子签章；</w:t>
      </w:r>
    </w:p>
    <w:p>
      <w:pPr>
        <w:pStyle w:val="null3"/>
      </w:pPr>
      <w:r>
        <w:rPr>
          <w:rFonts w:ascii="仿宋_GB2312" w:hAnsi="仿宋_GB2312" w:cs="仿宋_GB2312" w:eastAsia="仿宋_GB2312"/>
        </w:rPr>
        <w:t>2、法定代表人身份证明及法定代表人授权委托书：供应商需在项目电子化交易系统中提供法定代表人身份证明或法定代表人授权委托书，供应 商需在项目电子化交易系统中按要求上传文件并进行电子签章；</w:t>
      </w:r>
    </w:p>
    <w:p>
      <w:pPr>
        <w:pStyle w:val="null3"/>
      </w:pPr>
      <w:r>
        <w:rPr>
          <w:rFonts w:ascii="仿宋_GB2312" w:hAnsi="仿宋_GB2312" w:cs="仿宋_GB2312" w:eastAsia="仿宋_GB2312"/>
        </w:rPr>
        <w:t>3、企业资质：供应商须具备相关部门颁发的农业综合开发生态工程乙级及以上或土地规划乙级及以上资质；供应商需在项目电子化交易系统中按要求上传相应证明文件并进行电子签章；</w:t>
      </w:r>
    </w:p>
    <w:p>
      <w:pPr>
        <w:pStyle w:val="null3"/>
      </w:pPr>
      <w:r>
        <w:rPr>
          <w:rFonts w:ascii="仿宋_GB2312" w:hAnsi="仿宋_GB2312" w:cs="仿宋_GB2312" w:eastAsia="仿宋_GB2312"/>
        </w:rPr>
        <w:t>4、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提供2025年1月至今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税收缴纳证明：提供2025年1月至今至少一个月已缴纳的增值税或营业税或企业所得税或印花税的凭据或完税证明；依法免税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7、参加政府采购活动前3年内在经营活动中没有重大违法记录（声明）：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p>
      <w:pPr>
        <w:pStyle w:val="null3"/>
      </w:pPr>
      <w:r>
        <w:rPr>
          <w:rFonts w:ascii="仿宋_GB2312" w:hAnsi="仿宋_GB2312" w:cs="仿宋_GB2312" w:eastAsia="仿宋_GB2312"/>
        </w:rPr>
        <w:t>8、提供具有履行合同所必须的设备和专业技术能力的书面承诺：供应商需在项目电子化交易系统中提供具有履行合同所必须的设备和专业技术能力的书面承诺并进行电子签章；供应商需在项目电子化交易系统中按要求上传相应证明文件并进行电子签章；</w:t>
      </w:r>
    </w:p>
    <w:p>
      <w:pPr>
        <w:pStyle w:val="null3"/>
      </w:pPr>
      <w:r>
        <w:rPr>
          <w:rFonts w:ascii="仿宋_GB2312" w:hAnsi="仿宋_GB2312" w:cs="仿宋_GB2312" w:eastAsia="仿宋_GB2312"/>
        </w:rPr>
        <w:t>9、信用主体查询：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供应商需在项目电子化交易系统中按要求上传相应证明文件并进行电子签章；</w:t>
      </w:r>
    </w:p>
    <w:p>
      <w:pPr>
        <w:pStyle w:val="null3"/>
      </w:pPr>
      <w:r>
        <w:rPr>
          <w:rFonts w:ascii="仿宋_GB2312" w:hAnsi="仿宋_GB2312" w:cs="仿宋_GB2312" w:eastAsia="仿宋_GB2312"/>
        </w:rPr>
        <w:t>10、本项目不接受联合体：供应商需在项目电子化交易系统中提供非联合体投标承诺书并进行电子签章；供应商需在项目电子化交易系统中按要求上传相应证明文件并进行电子签章；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13289105567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陕西省西咸新区沣西新城康定路中铁港沣国际1309室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采购包1：508,300.00元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代理服务费收费标准：依据发改价格〔2015〕299号文件规定以成交价格为基准计取该项目的招标代理服务费。经双方协商，由成交供应商支付招标代理服务费，发放成交通知书时一次性付清。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三原县自然资源局</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完成三原县嵯峨镇大盘村等7村市级占补平衡补充耕地项目设计服务，并达到验收标准。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联系电话：029-88680610</w:t>
      </w:r>
    </w:p>
    <w:p>
      <w:pPr>
        <w:pStyle w:val="null3"/>
      </w:pPr>
      <w:r>
        <w:rPr>
          <w:rFonts w:ascii="仿宋_GB2312" w:hAnsi="仿宋_GB2312" w:cs="仿宋_GB2312" w:eastAsia="仿宋_GB2312"/>
        </w:rPr>
        <w:t>地址：陕西省西咸新区沣西新城康定路中铁港沣国际1309室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依据《中共中央办公厅 关于加强耕地保护提升耕地质量完善占补平衡的意见》（中办发〔2024〕13号）、《自然资源部 农业农村部关于改革完善耕地占补平衡管理的通知》（自然资发〔2024〕204号）和《陕西省自然资源厅 陕西省农业农村厅关于新增补充耕地一次性建成高标准农田试点工作的通知》（陕自然资耕发〔2024〕276号）、《陕西省自然资源厅 陕西省农业农村厅关于加强耕地占补平衡管理的通知》（陕自然资发〔2025〕462号）等文件精神。为贯彻落实部、省、市遏制耕地“非农化”、防止“非粮化”决策部署，保障粮食安全和非农建设占用耕地的“占补平衡”需求，对于全县范围内农户有意愿退出低效、荒芜园林地并恢复成耕地的土地，组织实施占补平衡补充耕地项目。项目建设目标是新增耕地面积、提升耕地质量、优化耕地布局，积极探索新增补充耕地一次性建成高标准农田模式，强化耕地数量、质量、生态三位一体保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508,300.00</w:t>
      </w:r>
    </w:p>
    <w:p>
      <w:pPr>
        <w:pStyle w:val="null3"/>
      </w:pPr>
      <w:r>
        <w:rPr>
          <w:rFonts w:ascii="仿宋_GB2312" w:hAnsi="仿宋_GB2312" w:cs="仿宋_GB2312" w:eastAsia="仿宋_GB2312"/>
        </w:rPr>
        <w:t>采购包最高限价（元）: 508,300.00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三原县嵯峨镇大盘村等7村市级占补平衡补充耕地项目设计服务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508,300.00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标的名称：三原县嵯峨镇大盘村等7村市级占补平衡补充耕地项目设计服务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6"/>
                <w:b/>
              </w:rPr>
              <w:t>服务内容及要求</w:t>
            </w:r>
          </w:p>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依据《中共中央办公厅</w:t>
            </w:r>
            <w:r>
              <w:rPr>
                <w:rFonts w:ascii="仿宋_GB2312" w:hAnsi="仿宋_GB2312" w:cs="仿宋_GB2312" w:eastAsia="仿宋_GB2312"/>
                <w:sz w:val="24"/>
              </w:rPr>
              <w:t>关于加强耕地保护提升耕地质量完善占补平衡的意见》（中办发〔</w:t>
            </w:r>
            <w:r>
              <w:rPr>
                <w:rFonts w:ascii="仿宋_GB2312" w:hAnsi="仿宋_GB2312" w:cs="仿宋_GB2312" w:eastAsia="仿宋_GB2312"/>
                <w:sz w:val="24"/>
              </w:rPr>
              <w:t>2024〕13号）、《自然资源部 农业农村部关于改革完善耕地占补平衡管理的通知》（自然资发〔2024〕204号）和《陕西省自然资源厅 陕西省农业农村厅关于新增补充耕地一次性建成高标准农田试点工作的通知》（陕自然资耕发〔2024〕276号）、《陕西省自然资源厅 陕西省农业农村厅关于加强耕地占补平衡管理的通知》（陕自然资发〔2025〕462号）等文件精神。为贯彻落实部、省、市遏制耕地“非农化”、防止“非粮化”决策部署，保障粮食安全和非农建设占用耕地的“占补平衡”需求，对于全县范围内农户有意愿退出低效、荒芜园林地并恢复成耕地的土地，组织实施占补平衡补充耕地项目。项目建设目标是新增耕地面积、提升耕地质量、优化耕地布局，积极探索新增补充耕地一次性建成高标准农田模式，强化耕地数量、质量、生态三位一体保护。</w:t>
            </w:r>
          </w:p>
          <w:p>
            <w:pPr>
              <w:pStyle w:val="null3"/>
              <w:ind w:firstLine="480"/>
            </w:pPr>
            <w:r>
              <w:rPr>
                <w:rFonts w:ascii="仿宋_GB2312" w:hAnsi="仿宋_GB2312" w:cs="仿宋_GB2312" w:eastAsia="仿宋_GB2312"/>
                <w:sz w:val="24"/>
              </w:rPr>
              <w:t>二、服务内容</w:t>
            </w:r>
          </w:p>
          <w:p>
            <w:pPr>
              <w:pStyle w:val="null3"/>
              <w:ind w:firstLine="480"/>
            </w:pPr>
            <w:r>
              <w:rPr>
                <w:rFonts w:ascii="仿宋_GB2312" w:hAnsi="仿宋_GB2312" w:cs="仿宋_GB2312" w:eastAsia="仿宋_GB2312"/>
                <w:sz w:val="24"/>
              </w:rPr>
              <w:t>工作区域为三原县县域内，工作内容为：</w:t>
            </w:r>
          </w:p>
          <w:p>
            <w:pPr>
              <w:pStyle w:val="null3"/>
              <w:ind w:firstLine="480"/>
            </w:pPr>
            <w:r>
              <w:rPr>
                <w:rFonts w:ascii="仿宋_GB2312" w:hAnsi="仿宋_GB2312" w:cs="仿宋_GB2312" w:eastAsia="仿宋_GB2312"/>
                <w:sz w:val="24"/>
              </w:rPr>
              <w:t>（一）潜力图斑选址：包括基础资料收集、潜力图斑内业筛选和外业调查、确定符合要求的潜力图斑。</w:t>
            </w:r>
          </w:p>
          <w:p>
            <w:pPr>
              <w:pStyle w:val="null3"/>
              <w:ind w:firstLine="480"/>
            </w:pPr>
            <w:r>
              <w:rPr>
                <w:rFonts w:ascii="仿宋_GB2312" w:hAnsi="仿宋_GB2312" w:cs="仿宋_GB2312" w:eastAsia="仿宋_GB2312"/>
                <w:sz w:val="24"/>
              </w:rPr>
              <w:t>（二）可行性评估论证：对涉及园地林地退出合规性进行可行性评估论证，编制可行性评估论证报告。</w:t>
            </w:r>
          </w:p>
          <w:p>
            <w:pPr>
              <w:pStyle w:val="null3"/>
              <w:ind w:firstLine="480"/>
            </w:pPr>
            <w:r>
              <w:rPr>
                <w:rFonts w:ascii="仿宋_GB2312" w:hAnsi="仿宋_GB2312" w:cs="仿宋_GB2312" w:eastAsia="仿宋_GB2312"/>
                <w:sz w:val="24"/>
              </w:rPr>
              <w:t>（三）可行性研究立项：实地踏勘，进行工程量和投资估算，编制可行性研究报告、估算书和规划图册。</w:t>
            </w:r>
          </w:p>
          <w:p>
            <w:pPr>
              <w:pStyle w:val="null3"/>
              <w:ind w:firstLine="480"/>
            </w:pPr>
            <w:r>
              <w:rPr>
                <w:rFonts w:ascii="仿宋_GB2312" w:hAnsi="仿宋_GB2312" w:cs="仿宋_GB2312" w:eastAsia="仿宋_GB2312"/>
                <w:sz w:val="24"/>
              </w:rPr>
              <w:t>（四）航拍正射影像：用专业无人机逐地块航拍实施前正射影像。</w:t>
            </w:r>
          </w:p>
          <w:p>
            <w:pPr>
              <w:pStyle w:val="null3"/>
              <w:ind w:firstLine="480"/>
            </w:pPr>
            <w:r>
              <w:rPr>
                <w:rFonts w:ascii="仿宋_GB2312" w:hAnsi="仿宋_GB2312" w:cs="仿宋_GB2312" w:eastAsia="仿宋_GB2312"/>
                <w:sz w:val="24"/>
              </w:rPr>
              <w:t>（五）立项阶段系统报备：在陕西省耕地占补平衡监管平台立项申报，填报基本信息，上传空间坐标，制作上传实施前正射影像图，逐地块外业举证。</w:t>
            </w:r>
          </w:p>
          <w:p>
            <w:pPr>
              <w:pStyle w:val="null3"/>
              <w:ind w:firstLine="480"/>
            </w:pPr>
            <w:r>
              <w:rPr>
                <w:rFonts w:ascii="仿宋_GB2312" w:hAnsi="仿宋_GB2312" w:cs="仿宋_GB2312" w:eastAsia="仿宋_GB2312"/>
                <w:sz w:val="24"/>
              </w:rPr>
              <w:t>（六）地形图测量：逐地块实地测量地形。</w:t>
            </w:r>
          </w:p>
          <w:p>
            <w:pPr>
              <w:pStyle w:val="null3"/>
              <w:ind w:firstLine="480"/>
            </w:pPr>
            <w:r>
              <w:rPr>
                <w:rFonts w:ascii="仿宋_GB2312" w:hAnsi="仿宋_GB2312" w:cs="仿宋_GB2312" w:eastAsia="仿宋_GB2312"/>
                <w:sz w:val="24"/>
              </w:rPr>
              <w:t>（七）设计与预算编制：逐地块实地踏勘，计算各地块工程量，编制项目设计报告、预算书和设计图册</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三、技术要求</w:t>
            </w:r>
          </w:p>
          <w:p>
            <w:pPr>
              <w:pStyle w:val="null3"/>
              <w:ind w:firstLine="480"/>
            </w:pPr>
            <w:r>
              <w:rPr>
                <w:rFonts w:ascii="仿宋_GB2312" w:hAnsi="仿宋_GB2312" w:cs="仿宋_GB2312" w:eastAsia="仿宋_GB2312"/>
                <w:sz w:val="24"/>
              </w:rPr>
              <w:t>1.熟悉部、省、市关于耕地占补平衡最新相关的政策要求；</w:t>
            </w:r>
          </w:p>
          <w:p>
            <w:pPr>
              <w:pStyle w:val="null3"/>
              <w:ind w:firstLine="480"/>
            </w:pPr>
            <w:r>
              <w:rPr>
                <w:rFonts w:ascii="仿宋_GB2312" w:hAnsi="仿宋_GB2312" w:cs="仿宋_GB2312" w:eastAsia="仿宋_GB2312"/>
                <w:sz w:val="24"/>
              </w:rPr>
              <w:t>2.熟悉三原县稳定耕地分布情况，三原县国土变更调查情况，有耕地占补平衡、国土空间规划、国土调查、耕地质量监测、耕地保护等相关工作基础；</w:t>
            </w:r>
          </w:p>
          <w:p>
            <w:pPr>
              <w:pStyle w:val="null3"/>
              <w:ind w:firstLine="480"/>
            </w:pPr>
            <w:r>
              <w:rPr>
                <w:rFonts w:ascii="仿宋_GB2312" w:hAnsi="仿宋_GB2312" w:cs="仿宋_GB2312" w:eastAsia="仿宋_GB2312"/>
                <w:sz w:val="24"/>
              </w:rPr>
              <w:t>3.熟练运用测绘、数据库建设、审核、质检等相关专业设备和软件。</w:t>
            </w:r>
          </w:p>
          <w:p>
            <w:pPr>
              <w:pStyle w:val="null3"/>
              <w:ind w:firstLine="480"/>
            </w:pPr>
            <w:r>
              <w:rPr>
                <w:rFonts w:ascii="仿宋_GB2312" w:hAnsi="仿宋_GB2312" w:cs="仿宋_GB2312" w:eastAsia="仿宋_GB2312"/>
                <w:sz w:val="24"/>
              </w:rPr>
              <w:t>4.执行规范：</w:t>
            </w:r>
          </w:p>
          <w:p>
            <w:pPr>
              <w:pStyle w:val="null3"/>
              <w:ind w:firstLine="480"/>
            </w:pPr>
            <w:r>
              <w:rPr>
                <w:rFonts w:ascii="仿宋_GB2312" w:hAnsi="仿宋_GB2312" w:cs="仿宋_GB2312" w:eastAsia="仿宋_GB2312"/>
                <w:sz w:val="24"/>
              </w:rPr>
              <w:t>1、《卫星导航定位基准站网络实时动态测量（RTK）规范》 （GB/T9616-2020）；</w:t>
            </w:r>
          </w:p>
          <w:p>
            <w:pPr>
              <w:pStyle w:val="null3"/>
              <w:ind w:firstLine="480"/>
            </w:pPr>
            <w:r>
              <w:rPr>
                <w:rFonts w:ascii="仿宋_GB2312" w:hAnsi="仿宋_GB2312" w:cs="仿宋_GB2312" w:eastAsia="仿宋_GB2312"/>
                <w:sz w:val="24"/>
              </w:rPr>
              <w:t>2、《地籍调查规程》（TD/T 1001-2012）；</w:t>
            </w:r>
          </w:p>
          <w:p>
            <w:pPr>
              <w:pStyle w:val="null3"/>
              <w:ind w:firstLine="480"/>
            </w:pPr>
            <w:r>
              <w:rPr>
                <w:rFonts w:ascii="仿宋_GB2312" w:hAnsi="仿宋_GB2312" w:cs="仿宋_GB2312" w:eastAsia="仿宋_GB2312"/>
                <w:sz w:val="24"/>
              </w:rPr>
              <w:t>3、《土地利用现状分类》（GB/T21010-2017）；</w:t>
            </w:r>
          </w:p>
          <w:p>
            <w:pPr>
              <w:pStyle w:val="null3"/>
              <w:ind w:firstLine="480"/>
            </w:pPr>
            <w:r>
              <w:rPr>
                <w:rFonts w:ascii="仿宋_GB2312" w:hAnsi="仿宋_GB2312" w:cs="仿宋_GB2312" w:eastAsia="仿宋_GB2312"/>
                <w:sz w:val="24"/>
              </w:rPr>
              <w:t>5、《工程测量标准》（GB50026-2020）；</w:t>
            </w:r>
          </w:p>
          <w:p>
            <w:pPr>
              <w:pStyle w:val="null3"/>
              <w:ind w:firstLine="480"/>
            </w:pPr>
            <w:r>
              <w:rPr>
                <w:rFonts w:ascii="仿宋_GB2312" w:hAnsi="仿宋_GB2312" w:cs="仿宋_GB2312" w:eastAsia="仿宋_GB2312"/>
                <w:sz w:val="24"/>
              </w:rPr>
              <w:t>6、《测绘成果质量检查与验收》（GB/T24356-2023）；</w:t>
            </w:r>
          </w:p>
          <w:p>
            <w:pPr>
              <w:pStyle w:val="null3"/>
              <w:ind w:firstLine="480"/>
            </w:pPr>
            <w:r>
              <w:rPr>
                <w:rFonts w:ascii="仿宋_GB2312" w:hAnsi="仿宋_GB2312" w:cs="仿宋_GB2312" w:eastAsia="仿宋_GB2312"/>
                <w:sz w:val="24"/>
              </w:rPr>
              <w:t>7、《测绘技术总结编写规定》（CH/T1001-2005）；</w:t>
            </w:r>
          </w:p>
          <w:p>
            <w:pPr>
              <w:pStyle w:val="null3"/>
              <w:ind w:firstLine="480"/>
            </w:pPr>
            <w:r>
              <w:rPr>
                <w:rFonts w:ascii="仿宋_GB2312" w:hAnsi="仿宋_GB2312" w:cs="仿宋_GB2312" w:eastAsia="仿宋_GB2312"/>
                <w:sz w:val="24"/>
              </w:rPr>
              <w:t>8、《耕地质量等级》（GB/T 33469-2016）；</w:t>
            </w:r>
          </w:p>
          <w:p>
            <w:pPr>
              <w:pStyle w:val="null3"/>
              <w:ind w:firstLine="480"/>
            </w:pPr>
            <w:r>
              <w:rPr>
                <w:rFonts w:ascii="仿宋_GB2312" w:hAnsi="仿宋_GB2312" w:cs="仿宋_GB2312" w:eastAsia="仿宋_GB2312"/>
                <w:sz w:val="24"/>
              </w:rPr>
              <w:t>10、《管道输水灌溉工程技术规范》（GB/T20203-2017）；</w:t>
            </w:r>
          </w:p>
          <w:p>
            <w:pPr>
              <w:pStyle w:val="null3"/>
              <w:ind w:firstLine="480"/>
            </w:pPr>
            <w:r>
              <w:rPr>
                <w:rFonts w:ascii="仿宋_GB2312" w:hAnsi="仿宋_GB2312" w:cs="仿宋_GB2312" w:eastAsia="仿宋_GB2312"/>
                <w:sz w:val="24"/>
              </w:rPr>
              <w:t>11、《灌溉与排水工程设计标准》（GB/50288-2018）；</w:t>
            </w:r>
          </w:p>
          <w:p>
            <w:pPr>
              <w:pStyle w:val="null3"/>
              <w:ind w:firstLine="480"/>
            </w:pPr>
            <w:r>
              <w:rPr>
                <w:rFonts w:ascii="仿宋_GB2312" w:hAnsi="仿宋_GB2312" w:cs="仿宋_GB2312" w:eastAsia="仿宋_GB2312"/>
                <w:sz w:val="24"/>
              </w:rPr>
              <w:t>12、《高标准农田建设通则》（GB/T30600-2022）；</w:t>
            </w:r>
          </w:p>
          <w:p>
            <w:pPr>
              <w:pStyle w:val="null3"/>
              <w:ind w:firstLine="480"/>
            </w:pPr>
            <w:r>
              <w:rPr>
                <w:rFonts w:ascii="仿宋_GB2312" w:hAnsi="仿宋_GB2312" w:cs="仿宋_GB2312" w:eastAsia="仿宋_GB2312"/>
                <w:sz w:val="24"/>
              </w:rPr>
              <w:t>13、《机井工程技术标准》（GB/T50625-2023）</w:t>
            </w:r>
          </w:p>
          <w:p>
            <w:pPr>
              <w:pStyle w:val="null3"/>
              <w:ind w:firstLine="480"/>
            </w:pPr>
            <w:r>
              <w:rPr>
                <w:rFonts w:ascii="仿宋_GB2312" w:hAnsi="仿宋_GB2312" w:cs="仿宋_GB2312" w:eastAsia="仿宋_GB2312"/>
                <w:sz w:val="24"/>
              </w:rPr>
              <w:t>14、《土地整治重大项目可行性研究报告编制规程》（TD/T1037 -2013）；</w:t>
            </w:r>
          </w:p>
          <w:p>
            <w:pPr>
              <w:pStyle w:val="null3"/>
              <w:ind w:firstLine="480"/>
            </w:pPr>
            <w:r>
              <w:rPr>
                <w:rFonts w:ascii="仿宋_GB2312" w:hAnsi="仿宋_GB2312" w:cs="仿宋_GB2312" w:eastAsia="仿宋_GB2312"/>
                <w:sz w:val="24"/>
              </w:rPr>
              <w:t>15、《土地复垦质量控制标准》（TD/T1036-2013）；</w:t>
            </w:r>
          </w:p>
          <w:p>
            <w:pPr>
              <w:pStyle w:val="null3"/>
              <w:ind w:firstLine="480"/>
            </w:pPr>
            <w:r>
              <w:rPr>
                <w:rFonts w:ascii="仿宋_GB2312" w:hAnsi="仿宋_GB2312" w:cs="仿宋_GB2312" w:eastAsia="仿宋_GB2312"/>
                <w:sz w:val="24"/>
              </w:rPr>
              <w:t>16、《土地整治项目设计报告编制规程》（TD/T1038-2013）；</w:t>
            </w:r>
          </w:p>
          <w:p>
            <w:pPr>
              <w:pStyle w:val="null3"/>
              <w:ind w:firstLine="480"/>
            </w:pPr>
            <w:r>
              <w:rPr>
                <w:rFonts w:ascii="仿宋_GB2312" w:hAnsi="仿宋_GB2312" w:cs="仿宋_GB2312" w:eastAsia="仿宋_GB2312"/>
                <w:sz w:val="24"/>
              </w:rPr>
              <w:t>17、《土地整治项目工程量计算规则》（TD/T1039-2013）；</w:t>
            </w:r>
          </w:p>
          <w:p>
            <w:pPr>
              <w:pStyle w:val="null3"/>
              <w:ind w:firstLine="480"/>
            </w:pPr>
            <w:r>
              <w:rPr>
                <w:rFonts w:ascii="仿宋_GB2312" w:hAnsi="仿宋_GB2312" w:cs="仿宋_GB2312" w:eastAsia="仿宋_GB2312"/>
                <w:sz w:val="24"/>
              </w:rPr>
              <w:t>18、《土地整治项目制图规范》（TD/T1040-2013）；</w:t>
            </w:r>
          </w:p>
          <w:p>
            <w:pPr>
              <w:pStyle w:val="null3"/>
              <w:ind w:firstLine="480"/>
            </w:pPr>
            <w:r>
              <w:rPr>
                <w:rFonts w:ascii="仿宋_GB2312" w:hAnsi="仿宋_GB2312" w:cs="仿宋_GB2312" w:eastAsia="仿宋_GB2312"/>
                <w:sz w:val="24"/>
              </w:rPr>
              <w:t>19、《土地整治项目验收规程》（TD/T1013-2013）；</w:t>
            </w:r>
          </w:p>
          <w:p>
            <w:pPr>
              <w:pStyle w:val="null3"/>
              <w:ind w:firstLine="480"/>
            </w:pPr>
            <w:r>
              <w:rPr>
                <w:rFonts w:ascii="仿宋_GB2312" w:hAnsi="仿宋_GB2312" w:cs="仿宋_GB2312" w:eastAsia="仿宋_GB2312"/>
                <w:sz w:val="24"/>
              </w:rPr>
              <w:t>20、《土地整治项目规划设计规范》（TD/T1012-2016）；</w:t>
            </w:r>
          </w:p>
          <w:p>
            <w:pPr>
              <w:pStyle w:val="null3"/>
              <w:ind w:firstLine="480"/>
            </w:pPr>
            <w:r>
              <w:rPr>
                <w:rFonts w:ascii="仿宋_GB2312" w:hAnsi="仿宋_GB2312" w:cs="仿宋_GB2312" w:eastAsia="仿宋_GB2312"/>
                <w:sz w:val="24"/>
              </w:rPr>
              <w:t>21、《耕作层土壤剥离利用技术规范》（TD∕T1048-2016）；</w:t>
            </w:r>
          </w:p>
          <w:p>
            <w:pPr>
              <w:pStyle w:val="null3"/>
              <w:ind w:firstLine="480"/>
            </w:pPr>
            <w:r>
              <w:rPr>
                <w:rFonts w:ascii="仿宋_GB2312" w:hAnsi="仿宋_GB2312" w:cs="仿宋_GB2312" w:eastAsia="仿宋_GB2312"/>
                <w:sz w:val="24"/>
              </w:rPr>
              <w:t>22、《有机肥料》（NY/T525-2021）；</w:t>
            </w:r>
          </w:p>
          <w:p>
            <w:pPr>
              <w:pStyle w:val="null3"/>
              <w:ind w:firstLine="480"/>
            </w:pPr>
            <w:r>
              <w:rPr>
                <w:rFonts w:ascii="仿宋_GB2312" w:hAnsi="仿宋_GB2312" w:cs="仿宋_GB2312" w:eastAsia="仿宋_GB2312"/>
                <w:sz w:val="24"/>
              </w:rPr>
              <w:t>23、《陕西省土地整治高标准农田建设标准综合体》（DB61/T 991.1~991.7-2015）；</w:t>
            </w:r>
          </w:p>
          <w:p>
            <w:pPr>
              <w:pStyle w:val="null3"/>
              <w:ind w:firstLine="480"/>
            </w:pPr>
            <w:r>
              <w:rPr>
                <w:rFonts w:ascii="仿宋_GB2312" w:hAnsi="仿宋_GB2312" w:cs="仿宋_GB2312" w:eastAsia="仿宋_GB2312"/>
                <w:sz w:val="24"/>
              </w:rPr>
              <w:t>24、《农田土壤培肥技术规范》（DB61/T966-2015）；</w:t>
            </w:r>
          </w:p>
          <w:p>
            <w:pPr>
              <w:pStyle w:val="null3"/>
            </w:pPr>
            <w:r>
              <w:rPr>
                <w:rFonts w:ascii="仿宋_GB2312" w:hAnsi="仿宋_GB2312" w:cs="仿宋_GB2312" w:eastAsia="仿宋_GB2312"/>
                <w:sz w:val="24"/>
              </w:rPr>
              <w:t xml:space="preserve">    25、《陕西省行业用水定额》（DB61/T943-2020）。</w:t>
            </w:r>
          </w:p>
          <w:p>
            <w:pPr>
              <w:pStyle w:val="null3"/>
              <w:ind w:firstLine="480"/>
            </w:pPr>
            <w:r>
              <w:rPr>
                <w:rFonts w:ascii="仿宋_GB2312" w:hAnsi="仿宋_GB2312" w:cs="仿宋_GB2312" w:eastAsia="仿宋_GB2312"/>
                <w:sz w:val="24"/>
              </w:rPr>
              <w:t>四、</w:t>
            </w:r>
            <w:r>
              <w:rPr>
                <w:rFonts w:ascii="仿宋_GB2312" w:hAnsi="仿宋_GB2312" w:cs="仿宋_GB2312" w:eastAsia="仿宋_GB2312"/>
                <w:sz w:val="24"/>
              </w:rPr>
              <w:t>服务期限</w:t>
            </w:r>
          </w:p>
          <w:p>
            <w:pPr>
              <w:pStyle w:val="null3"/>
              <w:ind w:firstLine="480"/>
            </w:pPr>
            <w:r>
              <w:rPr>
                <w:rFonts w:ascii="仿宋_GB2312" w:hAnsi="仿宋_GB2312" w:cs="仿宋_GB2312" w:eastAsia="仿宋_GB2312"/>
                <w:sz w:val="24"/>
              </w:rPr>
              <w:t>自合同签订之日起200</w:t>
            </w:r>
            <w:r>
              <w:rPr>
                <w:rFonts w:ascii="仿宋_GB2312" w:hAnsi="仿宋_GB2312" w:cs="仿宋_GB2312" w:eastAsia="仿宋_GB2312"/>
                <w:sz w:val="24"/>
              </w:rPr>
              <w:t>日历天</w:t>
            </w:r>
          </w:p>
          <w:p>
            <w:pPr>
              <w:pStyle w:val="null3"/>
              <w:ind w:firstLine="480"/>
            </w:pPr>
            <w:r>
              <w:rPr>
                <w:rFonts w:ascii="仿宋_GB2312" w:hAnsi="仿宋_GB2312" w:cs="仿宋_GB2312" w:eastAsia="仿宋_GB2312"/>
                <w:sz w:val="24"/>
              </w:rPr>
              <w:t>五、服务质量</w:t>
            </w:r>
          </w:p>
          <w:p>
            <w:pPr>
              <w:pStyle w:val="null3"/>
              <w:ind w:firstLine="480"/>
            </w:pPr>
            <w:r>
              <w:rPr>
                <w:rFonts w:ascii="仿宋_GB2312" w:hAnsi="仿宋_GB2312" w:cs="仿宋_GB2312" w:eastAsia="仿宋_GB2312"/>
                <w:sz w:val="24"/>
              </w:rPr>
              <w:t>符合国家标准、行业标准以及有关技术规范要求</w:t>
            </w:r>
          </w:p>
          <w:p>
            <w:pPr>
              <w:pStyle w:val="null3"/>
              <w:ind w:firstLine="480"/>
            </w:pPr>
            <w:r>
              <w:rPr>
                <w:rFonts w:ascii="仿宋_GB2312" w:hAnsi="仿宋_GB2312" w:cs="仿宋_GB2312" w:eastAsia="仿宋_GB2312"/>
                <w:sz w:val="24"/>
              </w:rPr>
              <w:t>六、</w:t>
            </w:r>
            <w:r>
              <w:rPr>
                <w:rFonts w:ascii="仿宋_GB2312" w:hAnsi="仿宋_GB2312" w:cs="仿宋_GB2312" w:eastAsia="仿宋_GB2312"/>
                <w:sz w:val="24"/>
              </w:rPr>
              <w:t>商务要求</w:t>
            </w:r>
          </w:p>
          <w:p>
            <w:pPr>
              <w:pStyle w:val="null3"/>
              <w:ind w:firstLine="480"/>
            </w:pPr>
            <w:r>
              <w:rPr>
                <w:rFonts w:ascii="仿宋_GB2312" w:hAnsi="仿宋_GB2312" w:cs="仿宋_GB2312" w:eastAsia="仿宋_GB2312"/>
                <w:sz w:val="24"/>
              </w:rPr>
              <w:t>（一）服务期及地点</w:t>
            </w:r>
          </w:p>
          <w:p>
            <w:pPr>
              <w:pStyle w:val="null3"/>
              <w:ind w:firstLine="480"/>
            </w:pPr>
            <w:r>
              <w:rPr>
                <w:rFonts w:ascii="仿宋_GB2312" w:hAnsi="仿宋_GB2312" w:cs="仿宋_GB2312" w:eastAsia="仿宋_GB2312"/>
                <w:sz w:val="24"/>
              </w:rPr>
              <w:t>1、服务期：自合同签订之日起200日历天。</w:t>
            </w:r>
          </w:p>
          <w:p>
            <w:pPr>
              <w:pStyle w:val="null3"/>
              <w:ind w:firstLine="480"/>
            </w:pPr>
            <w:r>
              <w:rPr>
                <w:rFonts w:ascii="仿宋_GB2312" w:hAnsi="仿宋_GB2312" w:cs="仿宋_GB2312" w:eastAsia="仿宋_GB2312"/>
                <w:sz w:val="24"/>
              </w:rPr>
              <w:t>2、服务地点：采购人指定地点。</w:t>
            </w:r>
          </w:p>
          <w:p>
            <w:pPr>
              <w:pStyle w:val="null3"/>
              <w:ind w:firstLine="480"/>
            </w:pPr>
            <w:r>
              <w:rPr>
                <w:rFonts w:ascii="仿宋_GB2312" w:hAnsi="仿宋_GB2312" w:cs="仿宋_GB2312" w:eastAsia="仿宋_GB2312"/>
                <w:sz w:val="24"/>
              </w:rPr>
              <w:t>（二）付款方式</w:t>
            </w:r>
          </w:p>
          <w:p>
            <w:pPr>
              <w:pStyle w:val="null3"/>
              <w:ind w:firstLine="480"/>
            </w:pPr>
            <w:r>
              <w:rPr>
                <w:rFonts w:ascii="仿宋_GB2312" w:hAnsi="仿宋_GB2312" w:cs="仿宋_GB2312" w:eastAsia="仿宋_GB2312"/>
                <w:sz w:val="24"/>
              </w:rPr>
              <w:t>1、成果文件经有关部门审批后,付总款项的60%;</w:t>
            </w:r>
          </w:p>
          <w:p>
            <w:pPr>
              <w:pStyle w:val="null3"/>
              <w:ind w:firstLine="480"/>
            </w:pPr>
            <w:r>
              <w:rPr>
                <w:rFonts w:ascii="仿宋_GB2312" w:hAnsi="仿宋_GB2312" w:cs="仿宋_GB2312" w:eastAsia="仿宋_GB2312"/>
                <w:sz w:val="24"/>
              </w:rPr>
              <w:t>2、项目竣工验收合格后，付总款项的40%。</w:t>
            </w:r>
          </w:p>
          <w:p>
            <w:pPr>
              <w:pStyle w:val="null3"/>
              <w:ind w:firstLine="480"/>
            </w:pPr>
            <w:r>
              <w:rPr>
                <w:rFonts w:ascii="仿宋_GB2312" w:hAnsi="仿宋_GB2312" w:cs="仿宋_GB2312" w:eastAsia="仿宋_GB2312"/>
                <w:sz w:val="24"/>
              </w:rPr>
              <w:t>（三）质量保证</w:t>
            </w:r>
          </w:p>
          <w:p>
            <w:pPr>
              <w:pStyle w:val="null3"/>
              <w:ind w:firstLine="480"/>
            </w:pPr>
            <w:r>
              <w:rPr>
                <w:rFonts w:ascii="仿宋_GB2312" w:hAnsi="仿宋_GB2312" w:cs="仿宋_GB2312" w:eastAsia="仿宋_GB2312"/>
                <w:sz w:val="24"/>
              </w:rPr>
              <w:t>1、中标单位所提供的项目成果必须经采购人审核验收，符合采购人要求，并达到技术指标先进、质量可靠、配置合理，满足采购文件要求。</w:t>
            </w:r>
          </w:p>
          <w:p>
            <w:pPr>
              <w:pStyle w:val="null3"/>
            </w:pPr>
            <w:r>
              <w:rPr>
                <w:rFonts w:ascii="仿宋_GB2312" w:hAnsi="仿宋_GB2312" w:cs="仿宋_GB2312" w:eastAsia="仿宋_GB2312"/>
                <w:sz w:val="24"/>
              </w:rPr>
              <w:t xml:space="preserve">    2、服务的质量必须符合国家标准和有关规范，确保服务达到最佳使用要求。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三原县县域内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现场交验，符合国家标准、行业标准以及有关技术规范要求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成果文件经有关部门审批后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因合同执行过程中双方发生纠纷，可由双方当事人协商解决或由双方主管部门调解，若达不成协议，当事人双方同意向项目所在地有管辖权的法院诉讼。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1、报价含完成任务所需的税费、设计规划费、人工费、交通费、专家费、租车费、资料费等所有费用。 2、合同其他条款：因资金拨款审批程序等原因，具体支付进度需结合采购人资金到账情况而定，供应商需预见且接受该情况。其他条款根据采购文件、响应文件及合同约定执行。 3、本项目实际采购人为三原县移民(脱贫)搬迁服务中心，因无独立《陕西省政府采购网》采购人账号，故使用三原县自然资源局账号发布公告，项目管理实施及合同签订等与本项目有关事宜均由三原县移民(脱贫)搬迁服务中心负责。4、为顺利推进政府采购电子化交易平台试点应用工作，供应商需要在线提交所有通过电子化交易平台实施的政府采购项目的响应文件，同时，线下提交纸质响应文件正本壹份、副本壹份、电子版壹份（正本扫描件，U盘壹份）。 5、纸质响应文件正副本分别胶装，标明供应商名称，密封递交，递交截止时间同在线递交电子响应文件截止时间一致。 6、若电子响应文件与纸质响应文件不一致的，以线上提交的电子响应文件为准。7、线下递交文件时间：同响应文件截止时间、开标时间一致。线下递交文件地点：陕西省西咸新区沣西新城中铁港沣国际十三层 1308室。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具有合法有效的营业执照、组织机构代码证、税务登记证（或统一社会信用代码的营业执照）；供应商需在项目电子化交易系统中按要求上传相应证明文件并进行电子签章；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法定代表人身份证明及法定代表人授权委托书</w:t>
            </w:r>
          </w:p>
        </w:tc>
        <w:tc>
          <w:tcPr>
            <w:tcW w:type="dxa" w:w="3322"/>
          </w:tcPr>
          <w:p>
            <w:pPr>
              <w:pStyle w:val="null3"/>
            </w:pPr>
            <w:r>
              <w:rPr>
                <w:rFonts w:ascii="仿宋_GB2312" w:hAnsi="仿宋_GB2312" w:cs="仿宋_GB2312" w:eastAsia="仿宋_GB2312"/>
              </w:rPr>
              <w:t>供应商需在项目电子化交易系统中提供法定代表人身份证明或法定代表人授权委托书，供应 商需在项目电子化交易系统中按要求上传文件并进行电子签章；</w:t>
            </w:r>
          </w:p>
        </w:tc>
        <w:tc>
          <w:tcPr>
            <w:tcW w:type="dxa" w:w="1661"/>
          </w:tcPr>
          <w:p>
            <w:pPr>
              <w:pStyle w:val="null3"/>
            </w:pPr>
            <w:r>
              <w:rPr>
                <w:rFonts w:ascii="仿宋_GB2312" w:hAnsi="仿宋_GB2312" w:cs="仿宋_GB2312" w:eastAsia="仿宋_GB2312"/>
              </w:rPr>
              <w:t>响应文件封面 供应商业绩情况 中小企业声明函 残疾人福利性单位声明函 商务应答表 供应商应提交的相关资格证明材料 服务内容及服务要求应答表 标的清单 报价表 拟投入本项目人员汇总表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供应商须具备相关部门颁发的农业综合开发生态工程乙级及以上或土地规划乙级及以上资质；供应商需在项目电子化交易系统中按要求上传相应证明文件并进行电子签章；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至少一个月已缴纳的增值税或营业税或企业所得税或印花税的凭据或完税证明；依法免税的投标人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提供具有履行合同所必须的设备和专业技术能力的书面承诺</w:t>
            </w:r>
          </w:p>
        </w:tc>
        <w:tc>
          <w:tcPr>
            <w:tcW w:type="dxa" w:w="3322"/>
          </w:tcPr>
          <w:p>
            <w:pPr>
              <w:pStyle w:val="null3"/>
            </w:pPr>
            <w:r>
              <w:rPr>
                <w:rFonts w:ascii="仿宋_GB2312" w:hAnsi="仿宋_GB2312" w:cs="仿宋_GB2312" w:eastAsia="仿宋_GB2312"/>
              </w:rPr>
              <w:t>供应商需在项目电子化交易系统中提供具有履行合同所必须的设备和专业技术能力的书面承诺并进行电子签章；供应商需在项目电子化交易系统中按要求上传相应证明文件并进行电子签章；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供应商需在项目电子化交易系统中提供非联合体投标承诺书并进行电子签章；供应商需在项目电子化交易系统中按要求上传相应证明文件并进行电子签章；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供应商业绩情况 中小企业声明函 残疾人福利性单位声明函 商务应答表 供应商应提交的相关资格证明材料 服务内容及服务要求应答表 标的清单 报价表 拟投入本项目人员汇总表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商务应答表 供应商应提交的相关资格证明材料 服务内容及服务要求应答表 报价表 拟投入本项目人员汇总表 响应文件封面 供应商业绩情况 其他材料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项目总体概述</w:t>
            </w:r>
          </w:p>
        </w:tc>
        <w:tc>
          <w:tcPr>
            <w:tcW w:type="dxa" w:w="2492"/>
          </w:tcPr>
          <w:p>
            <w:pPr>
              <w:pStyle w:val="null3"/>
            </w:pPr>
            <w:r>
              <w:rPr>
                <w:rFonts w:ascii="仿宋_GB2312" w:hAnsi="仿宋_GB2312" w:cs="仿宋_GB2312" w:eastAsia="仿宋_GB2312"/>
              </w:rPr>
              <w:t>对项目总体认识全面深刻，论述完整清晰，总体组织符合实际、总体设计符合规范，总体计划合理，措施科学。（0～8分）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CDATA[供应商提供针对于本项目的实施方案，方案内容包含： ①服务目标及计划安排； ②服务重难点分析及解决方案； ③服务内容及措施； ④服务理念及特色。评审标准 1、完整性：方案须详细全面，表述清晰完整，完全满足招标文件要求； 2、可实施性：切合本项目实际情况，实施步骤清晰、合理； 3、针对性：方案能够紧扣项目实际情况，内容科学合理。 赋分标准（满分24分） ①服务目标及计划安排：完整性、可实施性、针对性合理3<得分≤6分，完整性、可实施性、针对性较为合理1<得分≤3分，不合理或不提供得0分；②服务重难点分析及解决方案：完整性、可实施性、针对性合理3<得分≤6分，完整性、可实施性、针对性较为合理1<得分≤3分，不合理或不提供得0分；； ③服务内容及措施：完整性、可实施性、针对性合理3<得分≤6分，完整性、可实施性、针对性较为合理1<得分≤3分，不合理或不提供得0分；； ④服务理念及特色：完整性、可实施性、针对性合理3<得分≤6分，完整性、可实施性、针对性较为合理1<得分≤3分，不合理或不提供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设计进度控制和保证措施</w:t>
            </w:r>
          </w:p>
        </w:tc>
        <w:tc>
          <w:tcPr>
            <w:tcW w:type="dxa" w:w="2492"/>
          </w:tcPr>
          <w:p>
            <w:pPr>
              <w:pStyle w:val="null3"/>
            </w:pPr>
            <w:r>
              <w:rPr>
                <w:rFonts w:ascii="仿宋_GB2312" w:hAnsi="仿宋_GB2312" w:cs="仿宋_GB2312" w:eastAsia="仿宋_GB2312"/>
              </w:rPr>
              <w:t>进度计划协调，调配计划合理，保证措施具体，设计时间安排合理。（0～8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设计组织和质量保证措施</w:t>
            </w:r>
          </w:p>
        </w:tc>
        <w:tc>
          <w:tcPr>
            <w:tcW w:type="dxa" w:w="2492"/>
          </w:tcPr>
          <w:p>
            <w:pPr>
              <w:pStyle w:val="null3"/>
            </w:pPr>
            <w:r>
              <w:rPr>
                <w:rFonts w:ascii="仿宋_GB2312" w:hAnsi="仿宋_GB2312" w:cs="仿宋_GB2312" w:eastAsia="仿宋_GB2312"/>
              </w:rPr>
              <w:t>设计组织完善合理，质量保证计划全面细致、结合实际、措施具体责任到人。（0～10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工程投资控制</w:t>
            </w:r>
          </w:p>
        </w:tc>
        <w:tc>
          <w:tcPr>
            <w:tcW w:type="dxa" w:w="2492"/>
          </w:tcPr>
          <w:p>
            <w:pPr>
              <w:pStyle w:val="null3"/>
            </w:pPr>
            <w:r>
              <w:rPr>
                <w:rFonts w:ascii="仿宋_GB2312" w:hAnsi="仿宋_GB2312" w:cs="仿宋_GB2312" w:eastAsia="仿宋_GB2312"/>
              </w:rPr>
              <w:t>对工程投资控制得当，可操作性强，保障措施得力，造价合理、指标准确。（0～10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供针对本项目的合理化建议，方案结合本项目的现状和可能出现的问题，提出合理可行的合理化建议以及实施思路。提出的合理化建议切实针对本项目，有前瞻性具有很好借鉴意义3&lt;得分≤5分；提出的合理化建议可行但并不具备借鉴意义1&lt;得分≤3分；提出的合理化建议有明显漏洞、不合理或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项目配备人员</w:t>
            </w:r>
          </w:p>
        </w:tc>
        <w:tc>
          <w:tcPr>
            <w:tcW w:type="dxa" w:w="2492"/>
          </w:tcPr>
          <w:p>
            <w:pPr>
              <w:pStyle w:val="null3"/>
            </w:pPr>
            <w:r>
              <w:rPr>
                <w:rFonts w:ascii="仿宋_GB2312" w:hAnsi="仿宋_GB2312" w:cs="仿宋_GB2312" w:eastAsia="仿宋_GB2312"/>
              </w:rPr>
              <w:t>投标人提供针对本项目的管理制度，方案内容包含：①人员配备：具有相关专业工程师证及以上证件。②岗位职责：包含岗位工作标准、服务质量标准等；③人员管理制度：包含奖惩制度、管理制度、会议制度等； 评审标准 1、完整性：方案须详细全面，表述清晰完整，完全满足招标文件要求； 2、可实施性：切合本项目实际情况，实施步骤清晰、合理； 3、针对性：方案能够紧扣项目实际情况，内容科学合理。 赋分标准（满分15分） ①人员配备：拟派项目负责人具有相关专业高级及以上技术职称，得3分，提供不全或不提供不得分。 项目团队人员具有测绘、遥感、地理信息、规划相关专业中级及以上技术职称人员，每有一个得 1分，最多得5分。 ②岗位职责：完整性、可实施性、针对性清晰、合理、明确3&lt;得分≤5分，完整性、可实施性、针对性较为清晰、合理、明确1&lt;得分≤3分，不合理或不提供得0分； ③人员管理制度：整性、可实施性、针对性清晰、合理、明确3&lt;得分≤5分，完整性、可实施性、针对性较为清晰、合理、明确1&lt;得分≤3分，不合理或不提供得0分；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拟投入本项目人员汇总表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投标人应提供自2021年1月1日至今以来的类似业绩，每提供一项有效业绩证明材料得2分，最高得10分。(注：以合同签订时间为准，投标人应在投标文件中提供业绩合同复印件或扫描件且加盖单位公章。)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p>
            <w:pPr>
              <w:pStyle w:val="null3"/>
            </w:pPr>
            <w:r>
              <w:rPr>
                <w:rFonts w:ascii="仿宋_GB2312" w:hAnsi="仿宋_GB2312" w:cs="仿宋_GB2312" w:eastAsia="仿宋_GB2312"/>
              </w:rPr>
              <w:t>其他材料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投标报价采用综合评分法计算，即满足采购文件要求且经评审的投标报价的算数平均值为评审基准价。投标人的价格分统一按照下列公式计算：投标报价得分=(评审基准价/经评审的投标价)×10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详见附件：拟投入本项目人员汇总表</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