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版本号：XQSZB2026-00120260121001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三原县西阳镇九年制学校教辅用房及附属工程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XQSZB2026-001</w:t>
      </w:r>
      <w:r>
        <w:br/>
      </w:r>
      <w:r>
        <w:br/>
      </w:r>
      <w:r>
        <w:br/>
      </w:r>
    </w:p>
    <w:p>
      <w:pPr>
        <w:pStyle w:val="null3"/>
        <w:jc w:val="center"/>
        <w:outlineLvl w:val="2"/>
      </w:pPr>
      <w:r>
        <w:rPr>
          <w:rFonts w:ascii="仿宋_GB2312" w:hAnsi="仿宋_GB2312" w:cs="仿宋_GB2312" w:eastAsia="仿宋_GB2312"/>
          <w:sz w:val="28"/>
          <w:b/>
        </w:rPr>
        <w:t>三原县西阳镇初级中学</w:t>
      </w:r>
    </w:p>
    <w:p>
      <w:pPr>
        <w:pStyle w:val="null3"/>
        <w:jc w:val="center"/>
        <w:outlineLvl w:val="2"/>
      </w:pPr>
      <w:r>
        <w:rPr>
          <w:rFonts w:ascii="仿宋_GB2312" w:hAnsi="仿宋_GB2312" w:cs="仿宋_GB2312" w:eastAsia="仿宋_GB2312"/>
          <w:sz w:val="28"/>
          <w:b/>
        </w:rPr>
        <w:t>陕西鑫仟顺工程项目管理有限公司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陕西鑫仟顺工程项目管理有限公司</w:t>
      </w:r>
      <w:r>
        <w:rPr>
          <w:rFonts w:ascii="仿宋_GB2312" w:hAnsi="仿宋_GB2312" w:cs="仿宋_GB2312" w:eastAsia="仿宋_GB2312"/>
        </w:rPr>
        <w:t>（以下简称“代理机构”）受</w:t>
      </w:r>
      <w:r>
        <w:rPr>
          <w:rFonts w:ascii="仿宋_GB2312" w:hAnsi="仿宋_GB2312" w:cs="仿宋_GB2312" w:eastAsia="仿宋_GB2312"/>
        </w:rPr>
        <w:t>三原县西阳镇初级中学</w:t>
      </w:r>
      <w:r>
        <w:rPr>
          <w:rFonts w:ascii="仿宋_GB2312" w:hAnsi="仿宋_GB2312" w:cs="仿宋_GB2312" w:eastAsia="仿宋_GB2312"/>
        </w:rPr>
        <w:t>委托，拟对</w:t>
      </w:r>
      <w:r>
        <w:rPr>
          <w:rFonts w:ascii="仿宋_GB2312" w:hAnsi="仿宋_GB2312" w:cs="仿宋_GB2312" w:eastAsia="仿宋_GB2312"/>
        </w:rPr>
        <w:t>三原县西阳镇九年制学校教辅用房及附属工程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XQSZB2026-001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三原县西阳镇九年制学校教辅用房及附属工程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建设教辅用房1栋，框架结构，建设面积991.04㎡，地上2层，建筑高度9m。其中一楼设置会议室和办公室，层高 3.9m。二楼设置一个报告厅，层高4.8m。并配套建设室外消火栓、消防水池等附属工程。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采购包1（三原县西阳镇九年制学校教辅用房及附属工程）：属于专门面向中小企业采购。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 自然人参与的提供其身份证明</w:t>
      </w:r>
    </w:p>
    <w:p>
      <w:pPr>
        <w:pStyle w:val="null3"/>
      </w:pPr>
      <w:r>
        <w:rPr>
          <w:rFonts w:ascii="仿宋_GB2312" w:hAnsi="仿宋_GB2312" w:cs="仿宋_GB2312" w:eastAsia="仿宋_GB2312"/>
        </w:rPr>
        <w:t>2、资质要求：供应商须具备建设行政主管部门颁发的建筑工程施工总承包三级及以上资质，并具备建设行政主管部门颁发的安全生产许可证</w:t>
      </w:r>
    </w:p>
    <w:p>
      <w:pPr>
        <w:pStyle w:val="null3"/>
      </w:pPr>
      <w:r>
        <w:rPr>
          <w:rFonts w:ascii="仿宋_GB2312" w:hAnsi="仿宋_GB2312" w:cs="仿宋_GB2312" w:eastAsia="仿宋_GB2312"/>
        </w:rPr>
        <w:t>3、拟派项目负责人资质及专业要求：证书等级：二级注册建造师 专业：建筑工程 补充说明：具有有效的安全生产考核合格证(B证)，且未担任其他在建工程项目的项目经理（提供无在建工程证明）</w:t>
      </w:r>
    </w:p>
    <w:p>
      <w:pPr>
        <w:pStyle w:val="null3"/>
      </w:pPr>
      <w:r>
        <w:rPr>
          <w:rFonts w:ascii="仿宋_GB2312" w:hAnsi="仿宋_GB2312" w:cs="仿宋_GB2312" w:eastAsia="仿宋_GB2312"/>
        </w:rPr>
        <w:t>4、投标人及拟派项目负责人建设网查询：投标人及拟派项目负责人基本信息在“陕西建设网”可查询</w:t>
      </w:r>
    </w:p>
    <w:p>
      <w:pPr>
        <w:pStyle w:val="null3"/>
      </w:pPr>
      <w:r>
        <w:rPr>
          <w:rFonts w:ascii="仿宋_GB2312" w:hAnsi="仿宋_GB2312" w:cs="仿宋_GB2312" w:eastAsia="仿宋_GB2312"/>
        </w:rPr>
        <w:t>5、财务情况：提供2024年度经审计完整的财务审计报告（成立时间至提交磋商响应文件截止时间不足一年的可提供成立后任意时段的资产负债表）或磋商截止日前六个月内基本存款账户开户银行出具的资信证明（附开户许可证或开户证明）</w:t>
      </w:r>
    </w:p>
    <w:p>
      <w:pPr>
        <w:pStyle w:val="null3"/>
      </w:pPr>
      <w:r>
        <w:rPr>
          <w:rFonts w:ascii="仿宋_GB2312" w:hAnsi="仿宋_GB2312" w:cs="仿宋_GB2312" w:eastAsia="仿宋_GB2312"/>
        </w:rPr>
        <w:t>6、纳税证明：提供磋商截止日前六个月内任意一个月的纳税证明或完税证明（增值税、印花税、城市维护建设费、企业所得税等一种或多种税种），依法免税的单位提供相关证明材料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7、社保缴纳证明：提供磋商截止日前六个月内任意一个月的社保资金交纳证明，依法不需要缴纳社保资金的单位提供相关证明材料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8、具有履行合同所必需的设备和专业技术能力：提供具有履行合同所必需的设备和专业技术能力的承诺</w:t>
      </w:r>
    </w:p>
    <w:p>
      <w:pPr>
        <w:pStyle w:val="null3"/>
      </w:pPr>
      <w:r>
        <w:rPr>
          <w:rFonts w:ascii="仿宋_GB2312" w:hAnsi="仿宋_GB2312" w:cs="仿宋_GB2312" w:eastAsia="仿宋_GB2312"/>
        </w:rPr>
        <w:t>9、无重大违法记录：参加本次政府采购活动前三年内在经营活动中没有重大违法记录的书面声明</w:t>
      </w:r>
    </w:p>
    <w:p>
      <w:pPr>
        <w:pStyle w:val="null3"/>
      </w:pPr>
      <w:r>
        <w:rPr>
          <w:rFonts w:ascii="仿宋_GB2312" w:hAnsi="仿宋_GB2312" w:cs="仿宋_GB2312" w:eastAsia="仿宋_GB2312"/>
        </w:rPr>
        <w:t>10、法定代表人授权书/法定代表人身份证明：法定代表人授权书（附法定代表人、被授权人身份证复印件及授权代表在本单位缴纳社保的证明），法定代表人直接参加磋商，须提供法定代表人身份证明、法定代表人身份证复印件及在本单位缴纳社保的证明；</w:t>
      </w:r>
    </w:p>
    <w:p>
      <w:pPr>
        <w:pStyle w:val="null3"/>
      </w:pPr>
      <w:r>
        <w:rPr>
          <w:rFonts w:ascii="仿宋_GB2312" w:hAnsi="仿宋_GB2312" w:cs="仿宋_GB2312" w:eastAsia="仿宋_GB2312"/>
        </w:rPr>
        <w:t>11、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pPr>
        <w:pStyle w:val="null3"/>
      </w:pPr>
      <w:r>
        <w:rPr>
          <w:rFonts w:ascii="仿宋_GB2312" w:hAnsi="仿宋_GB2312" w:cs="仿宋_GB2312" w:eastAsia="仿宋_GB2312"/>
        </w:rPr>
        <w:t>12、联合体：本项目不接受联合体磋商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三原县西阳镇初级中学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三原县西阳镇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滑斌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13892905150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陕西鑫仟顺工程项目管理有限公司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陕西省咸阳市秦都区滨河西路大秦御港城10号楼1608室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029-33253042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采购包1：3,528,771.93元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按标准收费下浮30%执行。 2.成交单位在领取成交通知书前，须向采购代理机构一次性支付招标代理服务费。 3.招标代理服务费交纳信息： 户 名：陕西鑫仟顺工程项目管理有限公司 开户行：中国光大银行股份有限公司咸阳分行 账 号：55930188000037709 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三原县西阳镇初级中学</w:t>
      </w:r>
      <w:r>
        <w:rPr>
          <w:rFonts w:ascii="仿宋_GB2312" w:hAnsi="仿宋_GB2312" w:cs="仿宋_GB2312" w:eastAsia="仿宋_GB2312"/>
        </w:rPr>
        <w:t>和</w:t>
      </w:r>
      <w:r>
        <w:rPr>
          <w:rFonts w:ascii="仿宋_GB2312" w:hAnsi="仿宋_GB2312" w:cs="仿宋_GB2312" w:eastAsia="仿宋_GB2312"/>
        </w:rPr>
        <w:t>陕西鑫仟顺工程项目管理有限公司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三原县西阳镇初级中学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陕西鑫仟顺工程项目管理有限公司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三原县西阳镇初级中学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陕西鑫仟顺工程项目管理有限公司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达到并实现预期绩效目标。</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联系人：毛凯</w:t>
      </w:r>
    </w:p>
    <w:p>
      <w:pPr>
        <w:pStyle w:val="null3"/>
      </w:pPr>
      <w:r>
        <w:rPr>
          <w:rFonts w:ascii="仿宋_GB2312" w:hAnsi="仿宋_GB2312" w:cs="仿宋_GB2312" w:eastAsia="仿宋_GB2312"/>
        </w:rPr>
        <w:t>联系电话：029-33253042</w:t>
      </w:r>
    </w:p>
    <w:p>
      <w:pPr>
        <w:pStyle w:val="null3"/>
      </w:pPr>
      <w:r>
        <w:rPr>
          <w:rFonts w:ascii="仿宋_GB2312" w:hAnsi="仿宋_GB2312" w:cs="仿宋_GB2312" w:eastAsia="仿宋_GB2312"/>
        </w:rPr>
        <w:t>地址：陕西省咸阳市秦都区滨河西路大秦御港城10号楼1608室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3,528,771.93</w:t>
      </w:r>
    </w:p>
    <w:p>
      <w:pPr>
        <w:pStyle w:val="null3"/>
      </w:pPr>
      <w:r>
        <w:rPr>
          <w:rFonts w:ascii="仿宋_GB2312" w:hAnsi="仿宋_GB2312" w:cs="仿宋_GB2312" w:eastAsia="仿宋_GB2312"/>
        </w:rPr>
        <w:t>采购包最高限价（元）: 3,528,771.93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三原县西阳镇九年制学校教辅用房及附属工程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3,528,771.93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标的名称：三原县西阳镇九年制学校教辅用房及附属工程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一、项目概况</w:t>
            </w:r>
          </w:p>
          <w:p>
            <w:pPr>
              <w:pStyle w:val="null3"/>
              <w:jc w:val="left"/>
            </w:pPr>
            <w:r>
              <w:rPr>
                <w:rFonts w:ascii="仿宋_GB2312" w:hAnsi="仿宋_GB2312" w:cs="仿宋_GB2312" w:eastAsia="仿宋_GB2312"/>
                <w:sz w:val="21"/>
                <w:color w:val="000000"/>
              </w:rPr>
              <w:t>1、项目名称：三原县</w:t>
            </w:r>
            <w:r>
              <w:rPr>
                <w:rFonts w:ascii="仿宋_GB2312" w:hAnsi="仿宋_GB2312" w:cs="仿宋_GB2312" w:eastAsia="仿宋_GB2312"/>
                <w:sz w:val="21"/>
                <w:color w:val="000000"/>
              </w:rPr>
              <w:t>西阳镇九年制学校教辅用房及附属工程</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建设内容</w:t>
            </w:r>
            <w:r>
              <w:rPr>
                <w:rFonts w:ascii="仿宋_GB2312" w:hAnsi="仿宋_GB2312" w:cs="仿宋_GB2312" w:eastAsia="仿宋_GB2312"/>
                <w:sz w:val="21"/>
                <w:color w:val="000000"/>
              </w:rPr>
              <w:t>：建设教辅用房</w:t>
            </w:r>
            <w:r>
              <w:rPr>
                <w:rFonts w:ascii="仿宋_GB2312" w:hAnsi="仿宋_GB2312" w:cs="仿宋_GB2312" w:eastAsia="仿宋_GB2312"/>
                <w:sz w:val="21"/>
                <w:color w:val="000000"/>
              </w:rPr>
              <w:t>1栋，框架结构，建设面积991.04㎡，地上2层，建筑高度9m。其中一楼设置会议室和办公室，层高3.9m。二楼设置一个报告厅，层高4.8m。并配套建设室外消火栓、消防水池等附属工程</w:t>
            </w:r>
            <w:r>
              <w:rPr>
                <w:rFonts w:ascii="仿宋_GB2312" w:hAnsi="仿宋_GB2312" w:cs="仿宋_GB2312" w:eastAsia="仿宋_GB2312"/>
                <w:sz w:val="21"/>
                <w:color w:val="000000"/>
              </w:rPr>
              <w:t>，</w:t>
            </w:r>
            <w:r>
              <w:rPr>
                <w:rFonts w:ascii="仿宋_GB2312" w:hAnsi="仿宋_GB2312" w:cs="仿宋_GB2312" w:eastAsia="仿宋_GB2312"/>
                <w:sz w:val="21"/>
                <w:color w:val="000000"/>
              </w:rPr>
              <w:t>具体详见施工图纸及工程量清单全部内容</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项目地点：三原县西阳镇九年制学校</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工期：</w:t>
            </w:r>
            <w:r>
              <w:rPr>
                <w:rFonts w:ascii="仿宋_GB2312" w:hAnsi="仿宋_GB2312" w:cs="仿宋_GB2312" w:eastAsia="仿宋_GB2312"/>
                <w:sz w:val="21"/>
                <w:color w:val="000000"/>
              </w:rPr>
              <w:t>200日历天</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、质量要求：符合规定及设计要求，达到合格标准</w:t>
            </w:r>
          </w:p>
          <w:p>
            <w:pPr>
              <w:pStyle w:val="null3"/>
              <w:jc w:val="left"/>
            </w:pPr>
            <w:r>
              <w:rPr>
                <w:rFonts w:ascii="仿宋_GB2312" w:hAnsi="仿宋_GB2312" w:cs="仿宋_GB2312" w:eastAsia="仿宋_GB2312"/>
                <w:sz w:val="21"/>
                <w:b/>
                <w:color w:val="000000"/>
              </w:rPr>
              <w:t>二、工程计价依据</w:t>
            </w:r>
          </w:p>
          <w:p>
            <w:pPr>
              <w:pStyle w:val="null3"/>
              <w:jc w:val="left"/>
            </w:pPr>
            <w:r>
              <w:rPr>
                <w:rFonts w:ascii="仿宋_GB2312" w:hAnsi="仿宋_GB2312" w:cs="仿宋_GB2312" w:eastAsia="仿宋_GB2312"/>
                <w:sz w:val="21"/>
                <w:color w:val="000000"/>
              </w:rPr>
              <w:t>1、多贝建筑设计（西安）有限公司施工图计算工程量；</w:t>
            </w:r>
          </w:p>
          <w:p>
            <w:pPr>
              <w:pStyle w:val="null3"/>
              <w:jc w:val="left"/>
            </w:pPr>
            <w:r>
              <w:rPr>
                <w:rFonts w:ascii="仿宋_GB2312" w:hAnsi="仿宋_GB2312" w:cs="仿宋_GB2312" w:eastAsia="仿宋_GB2312"/>
                <w:sz w:val="21"/>
                <w:color w:val="000000"/>
              </w:rPr>
              <w:t>2、《2009陕西省建设工程工程量清单计价规则》、《2004陕西省建筑装饰、安装工程消耗量定额》及补充定额、《2009陕西省建筑装饰、安装工程价目表》、《2009陕西省建设工程工程量清单计价费率》及其相关文件；</w:t>
            </w:r>
          </w:p>
          <w:p>
            <w:pPr>
              <w:pStyle w:val="null3"/>
              <w:jc w:val="left"/>
            </w:pPr>
            <w:r>
              <w:rPr>
                <w:rFonts w:ascii="仿宋_GB2312" w:hAnsi="仿宋_GB2312" w:cs="仿宋_GB2312" w:eastAsia="仿宋_GB2312"/>
                <w:sz w:val="21"/>
                <w:color w:val="000000"/>
              </w:rPr>
              <w:t>3、安全文明施工费按“ 陕建发【2019】1246号” 文件执行；</w:t>
            </w:r>
          </w:p>
          <w:p>
            <w:pPr>
              <w:pStyle w:val="null3"/>
              <w:jc w:val="left"/>
            </w:pPr>
            <w:r>
              <w:rPr>
                <w:rFonts w:ascii="仿宋_GB2312" w:hAnsi="仿宋_GB2312" w:cs="仿宋_GB2312" w:eastAsia="仿宋_GB2312"/>
                <w:sz w:val="21"/>
                <w:color w:val="000000"/>
              </w:rPr>
              <w:t>4、劳保统筹费按“ 陕建发【2021】1021号” 文件执行，其他规费按规定计取；</w:t>
            </w:r>
          </w:p>
          <w:p>
            <w:pPr>
              <w:pStyle w:val="null3"/>
              <w:jc w:val="left"/>
            </w:pPr>
            <w:r>
              <w:rPr>
                <w:rFonts w:ascii="仿宋_GB2312" w:hAnsi="仿宋_GB2312" w:cs="仿宋_GB2312" w:eastAsia="仿宋_GB2312"/>
                <w:sz w:val="21"/>
                <w:color w:val="000000"/>
              </w:rPr>
              <w:t>5、综合人工单价调整按“ 陕建发【2021】1097号” 文件执行；</w:t>
            </w:r>
          </w:p>
          <w:p>
            <w:pPr>
              <w:pStyle w:val="null3"/>
              <w:jc w:val="left"/>
            </w:pPr>
            <w:r>
              <w:rPr>
                <w:rFonts w:ascii="仿宋_GB2312" w:hAnsi="仿宋_GB2312" w:cs="仿宋_GB2312" w:eastAsia="仿宋_GB2312"/>
                <w:sz w:val="21"/>
                <w:color w:val="000000"/>
              </w:rPr>
              <w:t>6、税金及综合系数的调整按“ 陕建发【2019】45号” 文件执行；</w:t>
            </w:r>
          </w:p>
          <w:p>
            <w:pPr>
              <w:pStyle w:val="null3"/>
              <w:jc w:val="left"/>
            </w:pPr>
            <w:r>
              <w:rPr>
                <w:rFonts w:ascii="仿宋_GB2312" w:hAnsi="仿宋_GB2312" w:cs="仿宋_GB2312" w:eastAsia="仿宋_GB2312"/>
                <w:sz w:val="21"/>
                <w:color w:val="000000"/>
              </w:rPr>
              <w:t>7、依据正常的施工组织设计及施工方法；</w:t>
            </w:r>
          </w:p>
          <w:p>
            <w:pPr>
              <w:pStyle w:val="null3"/>
              <w:jc w:val="left"/>
            </w:pPr>
            <w:r>
              <w:rPr>
                <w:rFonts w:ascii="仿宋_GB2312" w:hAnsi="仿宋_GB2312" w:cs="仿宋_GB2312" w:eastAsia="仿宋_GB2312"/>
                <w:sz w:val="21"/>
                <w:color w:val="000000"/>
              </w:rPr>
              <w:t>8、施工中采用的相关规范、标准、技术资料；</w:t>
            </w:r>
          </w:p>
          <w:p>
            <w:pPr>
              <w:pStyle w:val="null3"/>
              <w:jc w:val="left"/>
            </w:pPr>
            <w:r>
              <w:rPr>
                <w:rFonts w:ascii="仿宋_GB2312" w:hAnsi="仿宋_GB2312" w:cs="仿宋_GB2312" w:eastAsia="仿宋_GB2312"/>
                <w:sz w:val="21"/>
                <w:color w:val="000000"/>
              </w:rPr>
              <w:t>9、材料价格参照《咸阳市工程造价信息》2025年第4期及市场价；</w:t>
            </w:r>
          </w:p>
          <w:p>
            <w:pPr>
              <w:pStyle w:val="null3"/>
              <w:jc w:val="left"/>
            </w:pPr>
            <w:r>
              <w:rPr>
                <w:rFonts w:ascii="仿宋_GB2312" w:hAnsi="仿宋_GB2312" w:cs="仿宋_GB2312" w:eastAsia="仿宋_GB2312"/>
                <w:sz w:val="21"/>
                <w:color w:val="000000"/>
              </w:rPr>
              <w:t>10、采用广联达计价软件GCCP7.0[版本7.5000.23.1]编制。</w:t>
            </w:r>
          </w:p>
          <w:p>
            <w:pPr>
              <w:pStyle w:val="null3"/>
              <w:jc w:val="left"/>
            </w:pPr>
            <w:r>
              <w:rPr>
                <w:rFonts w:ascii="仿宋_GB2312" w:hAnsi="仿宋_GB2312" w:cs="仿宋_GB2312" w:eastAsia="仿宋_GB2312"/>
                <w:sz w:val="21"/>
                <w:b/>
                <w:color w:val="000000"/>
              </w:rPr>
              <w:t>三、编制范围</w:t>
            </w:r>
          </w:p>
          <w:p>
            <w:pPr>
              <w:pStyle w:val="null3"/>
            </w:pPr>
            <w:r>
              <w:rPr>
                <w:rFonts w:ascii="仿宋_GB2312" w:hAnsi="仿宋_GB2312" w:cs="仿宋_GB2312" w:eastAsia="仿宋_GB2312"/>
                <w:sz w:val="21"/>
                <w:color w:val="000000"/>
              </w:rPr>
              <w:t>1、采购人明确的全部工程内容，具体详见工程量清单。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本项目采购人名称为：三原县西阳镇九年制学校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完整的财务审计报告（成立时间至提交磋商响应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 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供应商须具备建设行政主管部门颁发的建筑工程施工总承包三级及以上资质，并具备建设行政主管部门颁发的安全生产许可证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证书等级：二级注册建造师 专业：建筑工程 补充说明：具有有效的安全生产考核合格证(B证)，且未担任其他在建工程项目的项目经理（提供无在建工程证明）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投标人及拟派项目负责人建设网查询</w:t>
            </w:r>
          </w:p>
        </w:tc>
        <w:tc>
          <w:tcPr>
            <w:tcW w:type="dxa" w:w="3322"/>
          </w:tcPr>
          <w:p>
            <w:pPr>
              <w:pStyle w:val="null3"/>
            </w:pPr>
            <w:r>
              <w:rPr>
                <w:rFonts w:ascii="仿宋_GB2312" w:hAnsi="仿宋_GB2312" w:cs="仿宋_GB2312" w:eastAsia="仿宋_GB2312"/>
              </w:rPr>
              <w:t>投标人及拟派项目负责人基本信息在“陕西建设网”可查询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财务情况</w:t>
            </w:r>
          </w:p>
        </w:tc>
        <w:tc>
          <w:tcPr>
            <w:tcW w:type="dxa" w:w="3322"/>
          </w:tcPr>
          <w:p>
            <w:pPr>
              <w:pStyle w:val="null3"/>
            </w:pPr>
            <w:r>
              <w:rPr>
                <w:rFonts w:ascii="仿宋_GB2312" w:hAnsi="仿宋_GB2312" w:cs="仿宋_GB2312" w:eastAsia="仿宋_GB2312"/>
              </w:rPr>
              <w:t>提供2024年度经审计完整的财务审计报告（成立时间至提交磋商响应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法定代表人授权书（附法定代表人、被授权人身份证复印件及授权代表在本单位缴纳社保的证明），法定代表人直接参加磋商，须提供法定代表人身份证明、法定代表人身份证复印件及在本单位缴纳社保的证明；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供应商认为需要提交的其他资料.docx 中小企业声明函 磋商方案说明书.docx 商务、技术偏离表.docx 资格证明文件.docx 供应商承诺书.docx 强制优先采购产品承诺函 首次磋商报价一览表.docx 响应文件封面 残疾人福利性单位声明函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已标价工程量清单 供应商认为需要提交的其他资料.docx 中小企业声明函 磋商方案说明书.docx 商务、技术偏离表.docx 资格证明文件.docx 供应商承诺书.docx 强制优先采购产品承诺函 响应文件封面 首次磋商报价一览表.docx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首次磋商报价一览表.docx 已标价工程量清单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首次磋商报价一览表.docx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应满足磋商文件中要求的质量</w:t>
            </w:r>
          </w:p>
        </w:tc>
        <w:tc>
          <w:tcPr>
            <w:tcW w:type="dxa" w:w="1661"/>
          </w:tcPr>
          <w:p>
            <w:pPr>
              <w:pStyle w:val="null3"/>
            </w:pPr>
            <w:r>
              <w:rPr>
                <w:rFonts w:ascii="仿宋_GB2312" w:hAnsi="仿宋_GB2312" w:cs="仿宋_GB2312" w:eastAsia="仿宋_GB2312"/>
              </w:rPr>
              <w:t>首次磋商报价一览表.docx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首次磋商报价一览表.docx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供应商的项目经理部组成及劳动力投入配备合理，完全满足工作要求，得12分； 供应商的项目经理部组成及劳动力投入配备较为合理，基本满足工作要求，得8分； 供应商的项目经理部组成及劳动力投入配备不合理、配置较差，未能完全满足工作要求,得4分。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安全、文明施工措施、环境保护措 施及确保治污减霾和防 尘污染的技术组织措施</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供应商有完善的安全、文明施工措施、环境保护措施及确保治污减霾和防尘污染的技术组织措施，措施编制完整合理、可操作性强，得9分； 供应商的安全 、文明施工措施、环境保护措施及确保治污减霾和防尘污染的技术组织措施基本合理、操作性一般，得6分； 供应商提供的安全、文明施工措施、环境保护措施及确保治污减霾和防尘污染的技术组织措施不尽完善、操作性不强、不能完全满足工作要求，得3分。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施工质量及施工进度保证措施、明确的项目职责与分工</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供应商有完善的施工质量及施工进度保证措施、明确的项目职责与分工，能有效地保证服务质量，确保按时按量完成服务工作，得9分； 供应商的施工质量及施工进度保证措施完善、程序措施较为规范合理，得6分； 供应商的施工质量及施工进度保证措施不尽完善、不能完全满足工作要求，得3分。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具有详细、实用、可行的突发事件处理预案措施，包括但不限于工伤事故、劳务纠纷；突发事件应急预案，详细、实用、切实可行性强得9分； 突发事件应急预案，较详细、较实用、可行性较强得6分； 突发事件应急预案，实用性一般，可行性较弱得3分。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提供的项目施工方案详细、合理、全面，得9分； 提供的项目施工方案较详细 、基本合理，得6分； 提供的项目施工方案有缺陷或不太合理，前后矛盾，得3分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主要材料供应计划及施工机械配备投入计划</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供应商所制定的主要材料供应计划及施工机械配备投入计划详细合理，可操作性强，机械工具配置齐全、情况良好。得9分； 供应商所制定的主要材料供应计划及施工机械配备投入计划较详细合理，可操作性一般，基本满足工作要求 , 得6分。 供应商所制定的主要材料供应计划及施工机械配备投入计划基本合理，操作性差，不能满足工作要求，得3分。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根据供应商提供的服务承诺（包括但不限于工期、工程质量、安全方面）的情况赋分。描述详尽、具体、可行性强得9分； 描述较详尽、较具体、可行性一般得6分； 描述简单、不具体计3分。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2023年01月01日至今类似项目业绩，每提供1份得2分，最高得4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 ×30的公式计算得分。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首次磋商报价一览表.docx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详见附件：第8章 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