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版本号：SX-JSZB(2026)-00120260122001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三原县城市更新专项规划及项目库建设咨询服务项目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SX-JSZB(2026)-001</w:t>
      </w:r>
      <w:r>
        <w:br/>
      </w:r>
      <w:r>
        <w:br/>
      </w:r>
      <w:r>
        <w:br/>
      </w:r>
    </w:p>
    <w:p>
      <w:pPr>
        <w:pStyle w:val="null3"/>
        <w:jc w:val="center"/>
        <w:outlineLvl w:val="2"/>
      </w:pPr>
      <w:r>
        <w:rPr>
          <w:rFonts w:ascii="仿宋_GB2312" w:hAnsi="仿宋_GB2312" w:cs="仿宋_GB2312" w:eastAsia="仿宋_GB2312"/>
          <w:sz w:val="28"/>
          <w:b/>
        </w:rPr>
        <w:t>三原县住房和城乡建设局</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三原县住房和城乡建设局</w:t>
      </w:r>
      <w:r>
        <w:rPr>
          <w:rFonts w:ascii="仿宋_GB2312" w:hAnsi="仿宋_GB2312" w:cs="仿宋_GB2312" w:eastAsia="仿宋_GB2312"/>
        </w:rPr>
        <w:t>委托，拟对</w:t>
      </w:r>
      <w:r>
        <w:rPr>
          <w:rFonts w:ascii="仿宋_GB2312" w:hAnsi="仿宋_GB2312" w:cs="仿宋_GB2312" w:eastAsia="仿宋_GB2312"/>
        </w:rPr>
        <w:t>三原县城市更新专项规划及项目库建设咨询服务项目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SX-JSZB(2026)-001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三原县城市更新专项规划及项目库建设咨询服务项目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深入贯彻中央城市工作会议精神，落实《中共中央办公厅、国务院办公厅关于持续推进城市更新行动的意见》中关于编制城市更新专项规划的要求，建立完善"专项规划—片区策划—项目实施方案"的规划实施体系,现开展我县城市更新专项规划编制工作，促进城市高质量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3、税收缴纳证明：提供投标截止日前6个月内已缴纳的至少一个月的纳税证明或完税证明（增值税或印花税等税种），依法免税的单位应提供相关证明材料；</w:t>
      </w:r>
    </w:p>
    <w:p>
      <w:pPr>
        <w:pStyle w:val="null3"/>
      </w:pPr>
      <w:r>
        <w:rPr>
          <w:rFonts w:ascii="仿宋_GB2312" w:hAnsi="仿宋_GB2312" w:cs="仿宋_GB2312" w:eastAsia="仿宋_GB2312"/>
        </w:rPr>
        <w:t>4、社会保障资金缴纳证明：提供投标截止日前6个月内已缴存的至少一个月的社会保障资金缴存单据或社保机构开具的社会保险参保缴费情况证明，依法不需要缴纳社会保障资金的单位应提供相关证明材料；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9、资质要求：供应商须具备行政主管部门颁发且有效的城乡规划编制单位乙级及以上资质。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三原县住房和城乡建设局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13409103525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陕西省西安市经济技术开发区凤城八路158号20幢1单元6楼609室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董星、郑凌汐、宋雯静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三原县住房和城乡建设局</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响应文件及合同承诺的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深入贯彻中央城市工作会议精神，落实《中共中央办公厅、国务院办公厅关于持续推进城市更新行动的意见》中关于编制城市更新专项规划的要求，建立完善"专项规划—片区策划—项目实施方案"的规划实施体系,现开展我县城市更新专项规划编制工作，促进城市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2,150,000.00</w:t>
      </w:r>
    </w:p>
    <w:p>
      <w:pPr>
        <w:pStyle w:val="null3"/>
      </w:pPr>
      <w:r>
        <w:rPr>
          <w:rFonts w:ascii="仿宋_GB2312" w:hAnsi="仿宋_GB2312" w:cs="仿宋_GB2312" w:eastAsia="仿宋_GB2312"/>
        </w:rPr>
        <w:t>采购包最高限价（元）: 2,150,000.00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三原县城市更新专项规划及项目库建设咨询服务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标的名称：三原县城市更新专项规划及项目库建设咨询服务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rPr>
              <w:t>深入贯彻中央城市工作会议精神，落实《中共中央办公厅、国务院办公厅关于持续推进城市更新行动的意见》以及省、市相关工作部署，抢抓国家县城建设试点机遇，科学系统推进三原县城市更新工作，全面提升城市功能、品质与活力。</w:t>
            </w:r>
          </w:p>
          <w:p>
            <w:pPr>
              <w:pStyle w:val="null3"/>
            </w:pPr>
            <w:r>
              <w:rPr>
                <w:rFonts w:ascii="仿宋_GB2312" w:hAnsi="仿宋_GB2312" w:cs="仿宋_GB2312" w:eastAsia="仿宋_GB2312"/>
              </w:rPr>
              <w:t>一、项目背景</w:t>
            </w:r>
          </w:p>
          <w:p>
            <w:pPr>
              <w:pStyle w:val="null3"/>
            </w:pPr>
            <w:r>
              <w:rPr>
                <w:rFonts w:ascii="仿宋_GB2312" w:hAnsi="仿宋_GB2312" w:cs="仿宋_GB2312" w:eastAsia="仿宋_GB2312"/>
              </w:rPr>
              <w:t>当前，我国城市发展进入了新的历史时期，城市建设由大规模开发的增量建设方式转为存量提质改造和增量结构调整并重。实施城市更新行动，是推动城市高质量发展、不断满足人民美好生活需要的重要举措。2025年7月，中央城市工作会议时隔十年再次召开，会议指出以建设创新、宜居、美丽、韧性、文明、智慧的现代化人民城市为目标，以推动城市高质量发展为主题，以坚持城市内涵式发展为主线，以推进城市更新为重要抓手，大力推动城市结构优化、动能转换、品质提升、绿色转型、文脉赓续、治理增效。2025年5月，《中共中央办公厅 国务院办公厅关于持续推进城市更新行动的意见》印发实施，要求依据国土空间规划，结合城市体检评估结果，制定实施城市更新专项规划，确定城市更新行动目标、重点任务、建设项目和实施时序，建立完善“专项规划－片区策划－项目实施方案”的规划实施体系。</w:t>
            </w:r>
          </w:p>
          <w:p>
            <w:pPr>
              <w:pStyle w:val="null3"/>
            </w:pPr>
            <w:r>
              <w:rPr>
                <w:rFonts w:ascii="仿宋_GB2312" w:hAnsi="仿宋_GB2312" w:cs="仿宋_GB2312" w:eastAsia="仿宋_GB2312"/>
              </w:rPr>
              <w:t>三原县正处于转型发展的关键时期，编制城市更新专项规划，是落实国家战略要求、顺应城市发展规律、回应人民群众对美好生活向往的迫切需要。规划旨在衔接国土空间总体规划，深化城市体检成果运用，系统谋划“十五五”期间（2026-2030年）全县城市更新的目标、策略、重点任务和行动计划，为有序实施城市更新行动、争取政策资金支持、建设宜居韧性智慧城市提供法定依据和行动纲领。</w:t>
            </w:r>
          </w:p>
          <w:p>
            <w:pPr>
              <w:pStyle w:val="null3"/>
            </w:pPr>
            <w:r>
              <w:rPr>
                <w:rFonts w:ascii="仿宋_GB2312" w:hAnsi="仿宋_GB2312" w:cs="仿宋_GB2312" w:eastAsia="仿宋_GB2312"/>
              </w:rPr>
              <w:t>二、项目目标</w:t>
            </w:r>
          </w:p>
          <w:p>
            <w:pPr>
              <w:pStyle w:val="null3"/>
            </w:pPr>
            <w:r>
              <w:rPr>
                <w:rFonts w:ascii="仿宋_GB2312" w:hAnsi="仿宋_GB2312" w:cs="仿宋_GB2312" w:eastAsia="仿宋_GB2312"/>
              </w:rPr>
              <w:t>（一）战略引领目标：明确“十五五”期间三原县城市更新的总体战略、空间格局与发展方向，引导城市内涵式、集约型、绿色化发展。</w:t>
            </w:r>
          </w:p>
          <w:p>
            <w:pPr>
              <w:pStyle w:val="null3"/>
            </w:pPr>
            <w:r>
              <w:rPr>
                <w:rFonts w:ascii="仿宋_GB2312" w:hAnsi="仿宋_GB2312" w:cs="仿宋_GB2312" w:eastAsia="仿宋_GB2312"/>
              </w:rPr>
              <w:t>（二）问题导向目标：针对城市体检发现的功能短板、品质洼地和安全隐患，提出系统性解决方案和更新策略，有效补短板、强弱项。</w:t>
            </w:r>
          </w:p>
          <w:p>
            <w:pPr>
              <w:pStyle w:val="null3"/>
            </w:pPr>
            <w:r>
              <w:rPr>
                <w:rFonts w:ascii="仿宋_GB2312" w:hAnsi="仿宋_GB2312" w:cs="仿宋_GB2312" w:eastAsia="仿宋_GB2312"/>
              </w:rPr>
              <w:t>（三）实施导向目标：建立“专项规划—片区策划—项目实施方案”的规划实施体系，形成清晰的城市更新项目库，明确近中期重点更新区域和项目，保障规划可落地、可实施。</w:t>
            </w:r>
          </w:p>
          <w:p>
            <w:pPr>
              <w:pStyle w:val="null3"/>
            </w:pPr>
            <w:r>
              <w:rPr>
                <w:rFonts w:ascii="仿宋_GB2312" w:hAnsi="仿宋_GB2312" w:cs="仿宋_GB2312" w:eastAsia="仿宋_GB2312"/>
              </w:rPr>
              <w:t>（四）政策创新目标：探索符合三原实际的城市更新实施模式、投融资机制和政策保障体系，激发多元主体参与活力。</w:t>
            </w:r>
          </w:p>
          <w:p>
            <w:pPr>
              <w:pStyle w:val="null3"/>
            </w:pPr>
            <w:r>
              <w:rPr>
                <w:rFonts w:ascii="仿宋_GB2312" w:hAnsi="仿宋_GB2312" w:cs="仿宋_GB2312" w:eastAsia="仿宋_GB2312"/>
              </w:rPr>
              <w:t>三、编制原则</w:t>
            </w:r>
          </w:p>
          <w:p>
            <w:pPr>
              <w:pStyle w:val="null3"/>
            </w:pPr>
            <w:r>
              <w:rPr>
                <w:rFonts w:ascii="仿宋_GB2312" w:hAnsi="仿宋_GB2312" w:cs="仿宋_GB2312" w:eastAsia="仿宋_GB2312"/>
              </w:rPr>
              <w:t>（一）以人为本，民生优先：聚焦人民群众急难愁盼问题，优先推进民生补短板项目，提升公共服务水平和人居环境质量。</w:t>
            </w:r>
          </w:p>
          <w:p>
            <w:pPr>
              <w:pStyle w:val="null3"/>
            </w:pPr>
            <w:r>
              <w:rPr>
                <w:rFonts w:ascii="仿宋_GB2312" w:hAnsi="仿宋_GB2312" w:cs="仿宋_GB2312" w:eastAsia="仿宋_GB2312"/>
              </w:rPr>
              <w:t>（二）规划统筹，系统推进：坚持“多规合一”，加强与国土空间规划及各专项规划的衔接，统筹空间、功能、产业、文化、生态等多元要素。</w:t>
            </w:r>
          </w:p>
          <w:p>
            <w:pPr>
              <w:pStyle w:val="null3"/>
            </w:pPr>
            <w:r>
              <w:rPr>
                <w:rFonts w:ascii="仿宋_GB2312" w:hAnsi="仿宋_GB2312" w:cs="仿宋_GB2312" w:eastAsia="仿宋_GB2312"/>
              </w:rPr>
              <w:t>（三）保护传承，特色彰显：注重历史文化遗产保护与活化利用，延续城市文脉，塑造富有三原特色的城市风貌。</w:t>
            </w:r>
          </w:p>
          <w:p>
            <w:pPr>
              <w:pStyle w:val="null3"/>
            </w:pPr>
            <w:r>
              <w:rPr>
                <w:rFonts w:ascii="仿宋_GB2312" w:hAnsi="仿宋_GB2312" w:cs="仿宋_GB2312" w:eastAsia="仿宋_GB2312"/>
              </w:rPr>
              <w:t>（四）政府引导，市场运作：发挥政府规划引导、政策支持和公共服务作用，创新投融资模式，鼓励社会资本参与。</w:t>
            </w:r>
          </w:p>
          <w:p>
            <w:pPr>
              <w:pStyle w:val="null3"/>
            </w:pPr>
            <w:r>
              <w:rPr>
                <w:rFonts w:ascii="仿宋_GB2312" w:hAnsi="仿宋_GB2312" w:cs="仿宋_GB2312" w:eastAsia="仿宋_GB2312"/>
              </w:rPr>
              <w:t>（五）因地制宜，分类施策：根据不同区域、不同类型更新对象的特征和问题，制定差异化的更新策略和实施路径。</w:t>
            </w:r>
          </w:p>
          <w:p>
            <w:pPr>
              <w:pStyle w:val="null3"/>
            </w:pPr>
            <w:r>
              <w:rPr>
                <w:rFonts w:ascii="仿宋_GB2312" w:hAnsi="仿宋_GB2312" w:cs="仿宋_GB2312" w:eastAsia="仿宋_GB2312"/>
              </w:rPr>
              <w:t>（六）智慧赋能，长效治理：运用数字化、信息化手段，提升城市更新规划、建设、管理的智能化水平，健全长效治理机制。</w:t>
            </w:r>
          </w:p>
          <w:p>
            <w:pPr>
              <w:pStyle w:val="null3"/>
            </w:pPr>
            <w:r>
              <w:rPr>
                <w:rFonts w:ascii="仿宋_GB2312" w:hAnsi="仿宋_GB2312" w:cs="仿宋_GB2312" w:eastAsia="仿宋_GB2312"/>
              </w:rPr>
              <w:t>四、规划范围与期限</w:t>
            </w:r>
          </w:p>
          <w:p>
            <w:pPr>
              <w:pStyle w:val="null3"/>
            </w:pPr>
            <w:r>
              <w:rPr>
                <w:rFonts w:ascii="仿宋_GB2312" w:hAnsi="仿宋_GB2312" w:cs="仿宋_GB2312" w:eastAsia="仿宋_GB2312"/>
              </w:rPr>
              <w:t>规划范围：三原县县域范围，重点聚焦县城建成区及需要实施更新的重点城镇、片区。</w:t>
            </w:r>
          </w:p>
          <w:p>
            <w:pPr>
              <w:pStyle w:val="null3"/>
            </w:pPr>
            <w:r>
              <w:rPr>
                <w:rFonts w:ascii="仿宋_GB2312" w:hAnsi="仿宋_GB2312" w:cs="仿宋_GB2312" w:eastAsia="仿宋_GB2312"/>
              </w:rPr>
              <w:t>规划期限：本规划基期年为2025年，规划期限为2026-2030年（“十五五”期间），远景展望至2035年。</w:t>
            </w:r>
          </w:p>
          <w:p>
            <w:pPr>
              <w:pStyle w:val="null3"/>
            </w:pPr>
            <w:r>
              <w:rPr>
                <w:rFonts w:ascii="仿宋_GB2312" w:hAnsi="仿宋_GB2312" w:cs="仿宋_GB2312" w:eastAsia="仿宋_GB2312"/>
              </w:rPr>
              <w:t>五、项目须执行的标准、规范</w:t>
            </w:r>
          </w:p>
          <w:p>
            <w:pPr>
              <w:pStyle w:val="null3"/>
            </w:pPr>
            <w:r>
              <w:rPr>
                <w:rFonts w:ascii="仿宋_GB2312" w:hAnsi="仿宋_GB2312" w:cs="仿宋_GB2312" w:eastAsia="仿宋_GB2312"/>
              </w:rPr>
              <w:t>1.《中共中央、国务院关于推动城市高质量发展的意见》（中发〔2025〕16号）</w:t>
            </w:r>
          </w:p>
          <w:p>
            <w:pPr>
              <w:pStyle w:val="null3"/>
            </w:pPr>
            <w:r>
              <w:rPr>
                <w:rFonts w:ascii="仿宋_GB2312" w:hAnsi="仿宋_GB2312" w:cs="仿宋_GB2312" w:eastAsia="仿宋_GB2312"/>
              </w:rPr>
              <w:t>2.《中共中央关于制定国民经济和社会发展第十五个五年规划的建议》，2025年</w:t>
            </w:r>
          </w:p>
          <w:p>
            <w:pPr>
              <w:pStyle w:val="null3"/>
            </w:pPr>
            <w:r>
              <w:rPr>
                <w:rFonts w:ascii="仿宋_GB2312" w:hAnsi="仿宋_GB2312" w:cs="仿宋_GB2312" w:eastAsia="仿宋_GB2312"/>
              </w:rPr>
              <w:t>3.中共中央办公厅 国务院办公厅印发《关于推进以县城为重要载体的城镇化建设的意见》</w:t>
            </w:r>
          </w:p>
          <w:p>
            <w:pPr>
              <w:pStyle w:val="null3"/>
            </w:pPr>
            <w:r>
              <w:rPr>
                <w:rFonts w:ascii="仿宋_GB2312" w:hAnsi="仿宋_GB2312" w:cs="仿宋_GB2312" w:eastAsia="仿宋_GB2312"/>
              </w:rPr>
              <w:t>4.《中共中央办公厅、国务院办公厅关于持续推进城市更新行动的意见》（中办发〔2025〕34号）</w:t>
            </w:r>
          </w:p>
          <w:p>
            <w:pPr>
              <w:pStyle w:val="null3"/>
            </w:pPr>
            <w:r>
              <w:rPr>
                <w:rFonts w:ascii="仿宋_GB2312" w:hAnsi="仿宋_GB2312" w:cs="仿宋_GB2312" w:eastAsia="仿宋_GB2312"/>
              </w:rPr>
              <w:t>5.《住房城乡建设部办公厅关于印发城市更新规划编制导则的通知》（建办科〔 2025 〕46 号 ）</w:t>
            </w:r>
          </w:p>
          <w:p>
            <w:pPr>
              <w:pStyle w:val="null3"/>
            </w:pPr>
            <w:r>
              <w:rPr>
                <w:rFonts w:ascii="仿宋_GB2312" w:hAnsi="仿宋_GB2312" w:cs="仿宋_GB2312" w:eastAsia="仿宋_GB2312"/>
              </w:rPr>
              <w:t>6.《住房城乡建设部建筑节能与科技司关于印发城市更新规划编制工作手册的通知》（建司局函科〔 2025 〕19号）</w:t>
            </w:r>
          </w:p>
          <w:p>
            <w:pPr>
              <w:pStyle w:val="null3"/>
            </w:pPr>
            <w:r>
              <w:rPr>
                <w:rFonts w:ascii="仿宋_GB2312" w:hAnsi="仿宋_GB2312" w:cs="仿宋_GB2312" w:eastAsia="仿宋_GB2312"/>
              </w:rPr>
              <w:t>7. 陕西省的城市更新专项规划相关指引及技术措施</w:t>
            </w:r>
          </w:p>
          <w:p>
            <w:pPr>
              <w:pStyle w:val="null3"/>
            </w:pPr>
            <w:r>
              <w:rPr>
                <w:rFonts w:ascii="仿宋_GB2312" w:hAnsi="仿宋_GB2312" w:cs="仿宋_GB2312" w:eastAsia="仿宋_GB2312"/>
              </w:rPr>
              <w:t>六、主要内容</w:t>
            </w:r>
          </w:p>
          <w:p>
            <w:pPr>
              <w:pStyle w:val="null3"/>
            </w:pPr>
            <w:r>
              <w:rPr>
                <w:rFonts w:ascii="仿宋_GB2312" w:hAnsi="仿宋_GB2312" w:cs="仿宋_GB2312" w:eastAsia="仿宋_GB2312"/>
              </w:rPr>
              <w:t>（一）现状评估与更新诊断：开展基础研究，分析三原县城市发展现状，充分运用历年城市体检成果，深化城市体检成果运用，识别城市更新资源的空间分布，精准识别在功能布局、基础设施、公共服务、人居环境、安全韧性、历史文化保护、产业发展等方面存在的问题与更新需求。</w:t>
            </w:r>
          </w:p>
          <w:p>
            <w:pPr>
              <w:pStyle w:val="null3"/>
            </w:pPr>
            <w:r>
              <w:rPr>
                <w:rFonts w:ascii="仿宋_GB2312" w:hAnsi="仿宋_GB2312" w:cs="仿宋_GB2312" w:eastAsia="仿宋_GB2312"/>
              </w:rPr>
              <w:t>（二）目标战略与更新定位：基于上位规划与区域发展要求，落实“十五五”国民经济和社会发展规划目标，衔接国土空间总体规划，明确“十五五”期间城市更新的总体目标、核心指标与战略定位。提出城市更新的核心策略、空间导向和总体思路。</w:t>
            </w:r>
          </w:p>
          <w:p>
            <w:pPr>
              <w:pStyle w:val="null3"/>
            </w:pPr>
            <w:r>
              <w:rPr>
                <w:rFonts w:ascii="仿宋_GB2312" w:hAnsi="仿宋_GB2312" w:cs="仿宋_GB2312" w:eastAsia="仿宋_GB2312"/>
              </w:rPr>
              <w:t>（三）更新空间布局与分区指引：对标“一个优化”、“六大建设”、“八大任务”要求，优化城市业态、功能结构和空间布局，划定城市更新重点区域和一般区域。针对老旧住区、老旧厂区、老旧街区、城中村等不同类型更新对象，以及公共空间、基础设施等系统更新需求，进行空间布局优化和更新分区，提出各分区的更新导向、重点任务和控制要求。</w:t>
            </w:r>
          </w:p>
          <w:p>
            <w:pPr>
              <w:pStyle w:val="null3"/>
            </w:pPr>
            <w:r>
              <w:rPr>
                <w:rFonts w:ascii="仿宋_GB2312" w:hAnsi="仿宋_GB2312" w:cs="仿宋_GB2312" w:eastAsia="仿宋_GB2312"/>
              </w:rPr>
              <w:t>（四）重点领域更新规划</w:t>
            </w:r>
          </w:p>
          <w:p>
            <w:pPr>
              <w:pStyle w:val="null3"/>
            </w:pPr>
            <w:r>
              <w:rPr>
                <w:rFonts w:ascii="仿宋_GB2312" w:hAnsi="仿宋_GB2312" w:cs="仿宋_GB2312" w:eastAsia="仿宋_GB2312"/>
              </w:rPr>
              <w:t>居住社区综合改善：聚焦老旧小区改造、社区公共服务设施补短板、无障碍环境建设等。</w:t>
            </w:r>
          </w:p>
          <w:p>
            <w:pPr>
              <w:pStyle w:val="null3"/>
            </w:pPr>
            <w:r>
              <w:rPr>
                <w:rFonts w:ascii="仿宋_GB2312" w:hAnsi="仿宋_GB2312" w:cs="仿宋_GB2312" w:eastAsia="仿宋_GB2312"/>
              </w:rPr>
              <w:t>产业园区聚能增效：推动低效产业用地转型升级，完善产业配套，促进产城融合。</w:t>
            </w:r>
          </w:p>
          <w:p>
            <w:pPr>
              <w:pStyle w:val="null3"/>
            </w:pPr>
            <w:r>
              <w:rPr>
                <w:rFonts w:ascii="仿宋_GB2312" w:hAnsi="仿宋_GB2312" w:cs="仿宋_GB2312" w:eastAsia="仿宋_GB2312"/>
              </w:rPr>
              <w:t>老旧街区活力焕新：推动商业街区、历史街区等更新改造，提升活力与特色。</w:t>
            </w:r>
          </w:p>
          <w:p>
            <w:pPr>
              <w:pStyle w:val="null3"/>
            </w:pPr>
            <w:r>
              <w:rPr>
                <w:rFonts w:ascii="仿宋_GB2312" w:hAnsi="仿宋_GB2312" w:cs="仿宋_GB2312" w:eastAsia="仿宋_GB2312"/>
              </w:rPr>
              <w:t>历史传承及景区风貌塑造： 保护历史文化遗产，控制城市风貌，提升景观品质。</w:t>
            </w:r>
          </w:p>
          <w:p>
            <w:pPr>
              <w:pStyle w:val="null3"/>
            </w:pPr>
            <w:r>
              <w:rPr>
                <w:rFonts w:ascii="仿宋_GB2312" w:hAnsi="仿宋_GB2312" w:cs="仿宋_GB2312" w:eastAsia="仿宋_GB2312"/>
              </w:rPr>
              <w:t>城市设施提档升级：统筹道路交通、市政管网、防灾减灾、智慧城市等基础设施更新改造。</w:t>
            </w:r>
          </w:p>
          <w:p>
            <w:pPr>
              <w:pStyle w:val="null3"/>
            </w:pPr>
            <w:r>
              <w:rPr>
                <w:rFonts w:ascii="仿宋_GB2312" w:hAnsi="仿宋_GB2312" w:cs="仿宋_GB2312" w:eastAsia="仿宋_GB2312"/>
              </w:rPr>
              <w:t>（五）行动计划与项目库建设：制定“十五五”期间城市更新行动计划和年度实施建议。建立动态更新的城市更新项目库，明确项目位置、内容、规模、投资估算、实施主体、时序安排及资金筹措建议，并与国家、省项目申报体系对接。</w:t>
            </w:r>
          </w:p>
          <w:p>
            <w:pPr>
              <w:pStyle w:val="null3"/>
            </w:pPr>
            <w:r>
              <w:rPr>
                <w:rFonts w:ascii="仿宋_GB2312" w:hAnsi="仿宋_GB2312" w:cs="仿宋_GB2312" w:eastAsia="仿宋_GB2312"/>
              </w:rPr>
              <w:t>（六）实施保障机制研究：研究提出规划实施的组织管理机制、政策支持体系（包括土地、规划、财税、金融等）、投融资模式创新、公众参与机制及监督考核办法。</w:t>
            </w:r>
          </w:p>
          <w:p>
            <w:pPr>
              <w:pStyle w:val="null3"/>
            </w:pPr>
            <w:r>
              <w:rPr>
                <w:rFonts w:ascii="仿宋_GB2312" w:hAnsi="仿宋_GB2312" w:cs="仿宋_GB2312" w:eastAsia="仿宋_GB2312"/>
              </w:rPr>
              <w:t>（七）规划成果要求：形成完整的《三原县城市更新专项规划（2026-2030年）》成果，包括规划文本、图集、说明书、专题研究及城市更新项目库清单等。</w:t>
            </w:r>
          </w:p>
          <w:p>
            <w:pPr>
              <w:pStyle w:val="null3"/>
            </w:pPr>
            <w:r>
              <w:rPr>
                <w:rFonts w:ascii="仿宋_GB2312" w:hAnsi="仿宋_GB2312" w:cs="仿宋_GB2312" w:eastAsia="仿宋_GB2312"/>
              </w:rPr>
              <w:t>七、规划组织与进度要求</w:t>
            </w:r>
          </w:p>
          <w:p>
            <w:pPr>
              <w:pStyle w:val="null3"/>
            </w:pPr>
            <w:r>
              <w:rPr>
                <w:rFonts w:ascii="仿宋_GB2312" w:hAnsi="仿宋_GB2312" w:cs="仿宋_GB2312" w:eastAsia="仿宋_GB2312"/>
              </w:rPr>
              <w:t>（一）组织保障：成立由县政府牵头，县住建局具体负责，县发改、财政、自然资源、文旅、民政等相关部门协同配合的规划编制工作领导小组，保障规划编制工作顺利进行。</w:t>
            </w:r>
          </w:p>
          <w:p>
            <w:pPr>
              <w:pStyle w:val="null3"/>
            </w:pPr>
            <w:r>
              <w:rPr>
                <w:rFonts w:ascii="仿宋_GB2312" w:hAnsi="仿宋_GB2312" w:cs="仿宋_GB2312" w:eastAsia="仿宋_GB2312"/>
              </w:rPr>
              <w:t>（二）编制单位要求：承担规划编制的单位需具备城乡规划编制乙级及以上资质，拥有丰富的城市更新类规划实践经验，项目团队人员结构合理。</w:t>
            </w:r>
          </w:p>
          <w:p>
            <w:pPr>
              <w:pStyle w:val="null3"/>
            </w:pPr>
            <w:r>
              <w:rPr>
                <w:rFonts w:ascii="仿宋_GB2312" w:hAnsi="仿宋_GB2312" w:cs="仿宋_GB2312" w:eastAsia="仿宋_GB2312"/>
              </w:rPr>
              <w:t>（三）进度安排：规划编制总周期为3个月。包括现状调研与专题研究（1个月）、规划方案编制与多方论证（1个月）、成果完善与报批（1个月）。具体进度在合同中明确。</w:t>
            </w:r>
          </w:p>
          <w:p>
            <w:pPr>
              <w:pStyle w:val="null3"/>
            </w:pPr>
            <w:r>
              <w:rPr>
                <w:rFonts w:ascii="仿宋_GB2312" w:hAnsi="仿宋_GB2312" w:cs="仿宋_GB2312" w:eastAsia="仿宋_GB2312"/>
              </w:rPr>
              <w:t>（四）技术咨询服务：规划编制单位需提供自规划批复之日起为期两年的后续技术咨询服务，协助规划解读、政策研究、试点申报及实施过程中的技术问题解答。</w:t>
            </w:r>
          </w:p>
          <w:p>
            <w:pPr>
              <w:pStyle w:val="null3"/>
            </w:pPr>
            <w:r>
              <w:rPr>
                <w:rFonts w:ascii="仿宋_GB2312" w:hAnsi="仿宋_GB2312" w:cs="仿宋_GB2312" w:eastAsia="仿宋_GB2312"/>
              </w:rPr>
              <w:t>八、成果要求</w:t>
            </w:r>
          </w:p>
          <w:p>
            <w:pPr>
              <w:pStyle w:val="null3"/>
            </w:pPr>
            <w:r>
              <w:rPr>
                <w:rFonts w:ascii="仿宋_GB2312" w:hAnsi="仿宋_GB2312" w:cs="仿宋_GB2312" w:eastAsia="仿宋_GB2312"/>
              </w:rPr>
              <w:t>规划成果需通过专家评审、部门审议和法定报批程序。成果质量应符合国家、陕西省关于城市更新专项规划编制的相关技术规范与政策要求，并对接住房和城乡建设部相关试点申报要求。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城市更新专项规划编制及项目库建设3个月，项目技术咨询服务2年。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三原县住建局。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《城市更新专项规划》编制费用：经审查合格后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42.00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《城市更新专项规划》编制费用：规划成果正式提交经省政府审批施行后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城市更新项目库建设费用：建立城市更新项目库系统，并将三原县纳入住建部县城建设试点县（重点项目推送至国家有关部门得到资金支持）</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项目技术咨询服务费用：按合同规定的专家人数提供为期两年的项目技术咨询服务，至服务期末需达到采购单位满意，提供书面满意确认书</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提供投标截止日前6个月内已缴纳的至少一个月的纳税证明或完税证明（增值税或印花税等税种），依法免税的单位应提供相关证明材料；</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供应商须具备行政主管部门颁发且有效的城乡规划编制单位乙级及以上资质。</w:t>
            </w:r>
          </w:p>
        </w:tc>
        <w:tc>
          <w:tcPr>
            <w:tcW w:type="dxa" w:w="1661"/>
          </w:tcPr>
          <w:p>
            <w:pPr>
              <w:pStyle w:val="null3"/>
            </w:pPr>
            <w:r>
              <w:rPr>
                <w:rFonts w:ascii="仿宋_GB2312" w:hAnsi="仿宋_GB2312" w:cs="仿宋_GB2312" w:eastAsia="仿宋_GB2312"/>
              </w:rPr>
              <w:t>投标人资格要求.docx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投标人名称与营业执照等资料相一致</w:t>
            </w:r>
          </w:p>
        </w:tc>
        <w:tc>
          <w:tcPr>
            <w:tcW w:type="dxa" w:w="1661"/>
          </w:tcPr>
          <w:p>
            <w:pPr>
              <w:pStyle w:val="null3"/>
            </w:pPr>
            <w:r>
              <w:rPr>
                <w:rFonts w:ascii="仿宋_GB2312" w:hAnsi="仿宋_GB2312" w:cs="仿宋_GB2312" w:eastAsia="仿宋_GB2312"/>
              </w:rPr>
              <w:t>开标一览表 投标人资格要求.docx 业绩.docx 服务内容及服务邀请应答表 中小企业声明函 商务应答表 投标函 残疾人福利性单位声明函 服务方案 标的清单 投标文件封面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按照采购文件要求签字盖章</w:t>
            </w:r>
          </w:p>
        </w:tc>
        <w:tc>
          <w:tcPr>
            <w:tcW w:type="dxa" w:w="1661"/>
          </w:tcPr>
          <w:p>
            <w:pPr>
              <w:pStyle w:val="null3"/>
            </w:pPr>
            <w:r>
              <w:rPr>
                <w:rFonts w:ascii="仿宋_GB2312" w:hAnsi="仿宋_GB2312" w:cs="仿宋_GB2312" w:eastAsia="仿宋_GB2312"/>
              </w:rPr>
              <w:t>开标一览表 投标人资格要求.docx 业绩.docx 服务内容及服务邀请应答表 中小企业声明函 商务应答表 投标函 残疾人福利性单位声明函 服务方案 标的清单 投标文件封面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服务期限、投标有效期等符合招标文件要求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按照采购文件要求缴纳</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报价唯一且未超过预算金额</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完全理解并接受法律法规和采购文件对供应商合法经营的各类规约和责任义务要求，未出现法律、法规或采购文件规定的其他无效情形的。</w:t>
            </w:r>
          </w:p>
        </w:tc>
        <w:tc>
          <w:tcPr>
            <w:tcW w:type="dxa" w:w="1661"/>
          </w:tcPr>
          <w:p>
            <w:pPr>
              <w:pStyle w:val="null3"/>
            </w:pPr>
            <w:r>
              <w:rPr>
                <w:rFonts w:ascii="仿宋_GB2312" w:hAnsi="仿宋_GB2312" w:cs="仿宋_GB2312" w:eastAsia="仿宋_GB2312"/>
              </w:rPr>
              <w:t>开标一览表 投标人资格要求.docx 业绩.docx 服务内容及服务邀请应答表 中小企业声明函 商务应答表 投标函 残疾人福利性单位声明函 服务方案 标的清单 投标文件封面 监狱企业的证明文件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投标人应充分理解项目背景和内容，根据项目实际情况对本项目制订总体方案，主要包含：①项目概况、实施背景；②工作目标；③总体框架等，方案总体思路清晰内容全面，适合项目需求，且对本项目的地理环境、规划现状、人文历史、区域特色把握精准得10分，若上述内容存在缺陷，每出现一处缺陷扣1分，扣完为止。 ①项目概况、实施背景，满分2分；②工作目标，满分3分；③总体框架，满分5分；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应充分理解项目背景和内容，根据项目实际情况对本项目制订规划实施方案，主要包含：①实施计划；②规划思路、技术思路及方法；③预期成果等，方案总体思路清晰内容全面，适合项目需求，且合理可行得10分，若上述内容存 在缺陷，每出现一处缺陷扣1分，扣完为止。 ①实施计划，满分3分；②规划思路、技术思路及方法，满分4分；③预期成果，满分3分。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服务承诺及配合计划</w:t>
            </w:r>
          </w:p>
        </w:tc>
        <w:tc>
          <w:tcPr>
            <w:tcW w:type="dxa" w:w="2492"/>
          </w:tcPr>
          <w:p>
            <w:pPr>
              <w:pStyle w:val="null3"/>
            </w:pPr>
            <w:r>
              <w:rPr>
                <w:rFonts w:ascii="仿宋_GB2312" w:hAnsi="仿宋_GB2312" w:cs="仿宋_GB2312" w:eastAsia="仿宋_GB2312"/>
              </w:rPr>
              <w:t>针对本项目的服务承诺及配合计划，主要内容包括①服务承诺；②服务配合计划；③配合提供相应的规范文本及相关材料；④配合采购人报批等相关内容，以上服务承诺及配合计划完备，方案描述详细，可操作性强得7分，若上述内容存在缺陷，每出现一处缺陷扣1分，扣完为止。 ①服务承诺，满分3分；②服务配合计划，满分2分；③配合提供相应的规范文本及相关材料，满分1分；④配合采购人报批，满分1分；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项目实施进度计划及保障措施，主要内容包括①实施进度计划；②阶段任务划分；③组织措施；④管理措施等，计划及措施方案描述详细，针对项目情况有具体的分析阐述，可操作性强、能全面高效地完成本项目得8分，若上述内容存在缺陷，每出现一处缺陷扣1分，扣完为止。 ①实施进度计划，满分2分；②阶段任务划分，满分2分；③组织措施，满分2分；④管理措施，满分2分。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针对本项目的质量保障措施，主要内容包含①质量保障措施；②过程控制；③成果保障；④应急措施等，质量保证措施全面细致，质量体系健全，工作程序清晰，安排科学得10分，若上述内容存在缺陷，每出现一处缺陷扣1分，扣完为止。 ①质量保障措施，满分3分；②过程控制，满分2分；③成果保障，满分3分；④应急措施，满分2分。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项目管理机构及管理制度</w:t>
            </w:r>
          </w:p>
        </w:tc>
        <w:tc>
          <w:tcPr>
            <w:tcW w:type="dxa" w:w="2492"/>
          </w:tcPr>
          <w:p>
            <w:pPr>
              <w:pStyle w:val="null3"/>
            </w:pPr>
            <w:r>
              <w:rPr>
                <w:rFonts w:ascii="仿宋_GB2312" w:hAnsi="仿宋_GB2312" w:cs="仿宋_GB2312" w:eastAsia="仿宋_GB2312"/>
              </w:rPr>
              <w:t>针对本项目的管理机构及管理制度，主要内容包括①管理机构设置；②职能分工及职责划分；③业务管理制度；④信息反馈及风险控制；⑤保密措施等，以上内容能够紧扣项目实际情况，内容科学合理得10分，若上述内容存在缺陷，每出现一处缺陷扣1分，扣完为止。①管理机构设置，满分2分；②职能分工及职责划分，满分2分；③业务管理制度，满分2分；④信息反馈及风险控制，满分2分；⑤保密措施，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拟投入项目负责人</w:t>
            </w:r>
          </w:p>
        </w:tc>
        <w:tc>
          <w:tcPr>
            <w:tcW w:type="dxa" w:w="2492"/>
          </w:tcPr>
          <w:p>
            <w:pPr>
              <w:pStyle w:val="null3"/>
            </w:pPr>
            <w:r>
              <w:rPr>
                <w:rFonts w:ascii="仿宋_GB2312" w:hAnsi="仿宋_GB2312" w:cs="仿宋_GB2312" w:eastAsia="仿宋_GB2312"/>
              </w:rPr>
              <w:t>根据供应商拟投入项目负责人情况进行评审： （1）同时具备城乡规划类高级职称、注册城乡（市）规划师执业资格的，得5分；（2）同时具备城乡规划类中级工程师职称、注册城乡（市）规划师执业资格的，得2分； 注：本项最高得5分，须提供身份证、职称证及社保部门出具的投标人为其缴纳的近半年内（不含开标当月）任意一个月的社保缴纳证明材料扫描件，以上资料未按要求提供或不清晰难以辨认的，不得分。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拟投入团队成员情况</w:t>
            </w:r>
          </w:p>
        </w:tc>
        <w:tc>
          <w:tcPr>
            <w:tcW w:type="dxa" w:w="2492"/>
          </w:tcPr>
          <w:p>
            <w:pPr>
              <w:pStyle w:val="null3"/>
            </w:pPr>
            <w:r>
              <w:rPr>
                <w:rFonts w:ascii="仿宋_GB2312" w:hAnsi="仿宋_GB2312" w:cs="仿宋_GB2312" w:eastAsia="仿宋_GB2312"/>
              </w:rPr>
              <w:t>投标人针对本项目设置的项目服务团队中（不含项目负责人)具有城乡规划类专业高级或以上职称的，每提供一个得2分，共6分；具有城乡规划类专业中级职称的，每提供一个得1分，共4分。注：本项提供人员名单、身份证、职称证及社保部门出具的投标人为其缴纳的近半年内（不含开标当月）任意一个月的社保缴纳证明扫描件，以上资料未按要求提供或不清晰难以辨认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项目编制内容提出的重点、难点进行分析并提出解决措施。主要内容包括既有建筑改造利用、社区建设、城市功能、基础设施、生态系统、历史文化等的分析与评价，以上内容描述详细、思路清晰、把握精准得10分，若上述内容存在缺陷，每出现一处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投标人提供提供2023年1月1日至今，供应商具有类似项目业绩，每提供一项业绩得2分，最高得10分。（业绩以合同扫描件为准，时间以合同签订日期为准。）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最后报价最低的供应商的价格为基准价，其价格分为满分。其他供应商的价格分统一按照下列公式计算：投标报价得分=10×（基准价/投标报价） 价格分计算：四舍五入，保留两位小数。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详见附件：投标人资格要求.docx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