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版本号：SXLZ-2026-10720260217001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三原县创建全国文明城市引入第三方公司指导服务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SXLZ-2026-107</w:t>
      </w:r>
      <w:r>
        <w:br/>
      </w:r>
      <w:r>
        <w:br/>
      </w:r>
      <w:r>
        <w:br/>
      </w:r>
    </w:p>
    <w:p>
      <w:pPr>
        <w:pStyle w:val="null3"/>
        <w:jc w:val="center"/>
        <w:outlineLvl w:val="2"/>
      </w:pPr>
      <w:r>
        <w:rPr>
          <w:rFonts w:ascii="仿宋_GB2312" w:hAnsi="仿宋_GB2312" w:cs="仿宋_GB2312" w:eastAsia="仿宋_GB2312"/>
          <w:sz w:val="28"/>
          <w:b/>
        </w:rPr>
        <w:t>三原县双创办</w:t>
      </w:r>
    </w:p>
    <w:p>
      <w:pPr>
        <w:pStyle w:val="null3"/>
        <w:jc w:val="center"/>
        <w:outlineLvl w:val="2"/>
      </w:pPr>
      <w:r>
        <w:rPr>
          <w:rFonts w:ascii="仿宋_GB2312" w:hAnsi="仿宋_GB2312" w:cs="仿宋_GB2312" w:eastAsia="仿宋_GB2312"/>
          <w:sz w:val="28"/>
          <w:b/>
        </w:rPr>
        <w:t>陕西龙泽项目咨询管理有限公司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三原县双创办</w:t>
      </w:r>
      <w:r>
        <w:rPr>
          <w:rFonts w:ascii="仿宋_GB2312" w:hAnsi="仿宋_GB2312" w:cs="仿宋_GB2312" w:eastAsia="仿宋_GB2312"/>
        </w:rPr>
        <w:t>委托，拟对</w:t>
      </w:r>
      <w:r>
        <w:rPr>
          <w:rFonts w:ascii="仿宋_GB2312" w:hAnsi="仿宋_GB2312" w:cs="仿宋_GB2312" w:eastAsia="仿宋_GB2312"/>
        </w:rPr>
        <w:t>三原县创建全国文明城市引入第三方公司指导服务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SXLZ-2026-107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三原县创建全国文明城市引入第三方公司指导服务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第三方，构建“综合指导+问卷调查+网上申报”的三维技术指导体系，实现“专业事交给专业人做”。将在我县双创工作领导小组的统一调度下，各司其职、密切配合，形成工作合力，现场整改指导聚焦硬件提升，档案规范保障软件达标，宣传动员凝聚全民共识，确保在有限时间内全面提升我县创文工作水平，助力顺利通过全国文明城市测评验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采购包1（三原县创建全国文明城市引入第三方公司指导服务）：属于专门面向中小企业采购。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状况报告：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如提供资信证明，须同时提供基本存款账户开户许可证或基本账户信息表）。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提供2025年1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5、设备和专业技术能力：具有履行合同所必需的设备和专业技术能力的书面声明。</w:t>
      </w:r>
    </w:p>
    <w:p>
      <w:pPr>
        <w:pStyle w:val="null3"/>
      </w:pPr>
      <w:r>
        <w:rPr>
          <w:rFonts w:ascii="仿宋_GB2312" w:hAnsi="仿宋_GB2312" w:cs="仿宋_GB2312" w:eastAsia="仿宋_GB2312"/>
        </w:rPr>
        <w:t>6、没有重大违法记录的书面声明：参加政府采购活动前3年内在经营活动中没有重大违法记录的书面声明。</w:t>
      </w:r>
    </w:p>
    <w:p>
      <w:pPr>
        <w:pStyle w:val="null3"/>
      </w:pPr>
      <w:r>
        <w:rPr>
          <w:rFonts w:ascii="仿宋_GB2312" w:hAnsi="仿宋_GB2312" w:cs="仿宋_GB2312" w:eastAsia="仿宋_GB2312"/>
        </w:rPr>
        <w:t>7、信用查询截图：供应商不得为“信用中国”网站（www.creditchina.gov.cn）中列入失信被执行人、重大税收违法失信主体名单，不得为“中国政府采购网”（www.ccgp.gov.cn）政府采购严重违法失信行为记录名单中被财政部门禁止参加政府采购活动的单位。</w:t>
      </w:r>
    </w:p>
    <w:p>
      <w:pPr>
        <w:pStyle w:val="null3"/>
      </w:pPr>
      <w:r>
        <w:rPr>
          <w:rFonts w:ascii="仿宋_GB2312" w:hAnsi="仿宋_GB2312" w:cs="仿宋_GB2312" w:eastAsia="仿宋_GB2312"/>
        </w:rPr>
        <w:t>8、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10、非联合体投标：本项目不接受联合体投标，提供非联合体投标声明。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三原县双创办</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三原县政府街图书馆五楼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三原县双创工作领导小组办公室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029-32289680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15309270789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经与采购单位协商，根据成交金额，参照国家计委颁发的《招标代理服务收费管理暂行办法》(计价格〔2002〕1980号)、国家发展改革委员会办公厅颁发的《关于招标代理服务费收费有关问题的通知》及《调整后的招标代理服务收费标准》(发改价格〔2011〕〕534号)规定计取，代理服务费不足5000元按5000元计取。2.采购代理服务费由成交供应商支付，成交供应商领取成交通知书时，须一次性向采购代理机构交纳采购代理服务费。 3.采购代理服务费账户：公司名称：陕西龙泽项目咨询管理有限公司；账 号: 6105011158 3800000087；开户行：中国建设银行股份有限公司西安雁塔南路南段支行。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三原县双创办</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三原县双创办</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三原县双创办</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1、磋商文件、磋商响应文件、澄清表（函）；2、本项目合同及附件文本；3、国家相应的标准、规范。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联系人：胡荣</w:t>
      </w:r>
    </w:p>
    <w:p>
      <w:pPr>
        <w:pStyle w:val="null3"/>
      </w:pPr>
      <w:r>
        <w:rPr>
          <w:rFonts w:ascii="仿宋_GB2312" w:hAnsi="仿宋_GB2312" w:cs="仿宋_GB2312" w:eastAsia="仿宋_GB2312"/>
        </w:rPr>
        <w:t>联系电话：15309270789</w:t>
      </w:r>
    </w:p>
    <w:p>
      <w:pPr>
        <w:pStyle w:val="null3"/>
      </w:pPr>
      <w:r>
        <w:rPr>
          <w:rFonts w:ascii="仿宋_GB2312" w:hAnsi="仿宋_GB2312" w:cs="仿宋_GB2312" w:eastAsia="仿宋_GB2312"/>
        </w:rPr>
        <w:t>地址：陕西省西安市国家民用航天产业基地神舟五路与东长安街交汇处东南角航天城中心广场1号楼708</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第三方，构建“综合指导+问卷调查+网上申报”的三维技术指导体系，实现“专业事交给专业人做”。将在我县双创工作领导小组的统一调度下，各司其职、密切配合，形成工作合力，现场整改指导聚焦硬件提升，档案规范保障软件达标，宣传动员凝聚全民共识，确保在有限时间内全面提升我县创文工作水平，助力顺利通过全国文明城市测评验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580,000.00</w:t>
      </w:r>
    </w:p>
    <w:p>
      <w:pPr>
        <w:pStyle w:val="null3"/>
      </w:pPr>
      <w:r>
        <w:rPr>
          <w:rFonts w:ascii="仿宋_GB2312" w:hAnsi="仿宋_GB2312" w:cs="仿宋_GB2312" w:eastAsia="仿宋_GB2312"/>
        </w:rPr>
        <w:t>采购包最高限价（元）: 580,000.00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指导服务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580,000.00</w:t>
            </w:r>
          </w:p>
        </w:tc>
        <w:tc>
          <w:tcPr>
            <w:tcW w:type="dxa" w:w="831"/>
          </w:tcPr>
          <w:p>
            <w:pPr>
              <w:pStyle w:val="null3"/>
            </w:pPr>
            <w:r>
              <w:rPr>
                <w:rFonts w:ascii="仿宋_GB2312" w:hAnsi="仿宋_GB2312" w:cs="仿宋_GB2312" w:eastAsia="仿宋_GB2312"/>
              </w:rPr>
              <w:t>项目</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标的名称：指导服务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both"/>
            </w:pPr>
            <w:r>
              <w:rPr>
                <w:rFonts w:ascii="仿宋_GB2312" w:hAnsi="仿宋_GB2312" w:cs="仿宋_GB2312" w:eastAsia="仿宋_GB2312"/>
                <w:b/>
              </w:rPr>
              <w:t>一、核心背景</w:t>
            </w:r>
          </w:p>
          <w:p>
            <w:pPr>
              <w:pStyle w:val="null3"/>
              <w:ind w:firstLine="640"/>
              <w:jc w:val="both"/>
            </w:pPr>
            <w:r>
              <w:rPr>
                <w:rFonts w:ascii="仿宋_GB2312" w:hAnsi="仿宋_GB2312" w:cs="仿宋_GB2312" w:eastAsia="仿宋_GB2312"/>
              </w:rPr>
              <w:t>三原县创建全国文明城市工作时间紧迫，任务体系复杂。全国文明城市创建测评周期固定、标准严苛，涉及市容环境、公共秩序、基础设施、市民素养、材料申报等多个维度，且需在短期内实现全域达标、全面提升。当前，我县创文工作已进入冲刺攻坚阶段，时间有限，而各项任务既相互关联又各有侧重，涵盖现场测评整改、档案资料规范、宣传氛围营造、群众满意度提升等多个专业板块，单靠单一主体难以在短时间内实现全链条、高质量推进。为抢抓有限时间，避免工作延误，亟需通过专业分工、协同作战的模式，集中力量攻克创文难点堵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43"/>
              <w:jc w:val="both"/>
            </w:pPr>
            <w:r>
              <w:rPr>
                <w:rFonts w:ascii="仿宋_GB2312" w:hAnsi="仿宋_GB2312" w:cs="仿宋_GB2312" w:eastAsia="仿宋_GB2312"/>
                <w:b/>
              </w:rPr>
              <w:t>二、关键原因</w:t>
            </w:r>
          </w:p>
          <w:p>
            <w:pPr>
              <w:pStyle w:val="null3"/>
              <w:ind w:firstLine="643"/>
              <w:jc w:val="both"/>
            </w:pPr>
            <w:r>
              <w:rPr>
                <w:rFonts w:ascii="仿宋_GB2312" w:hAnsi="仿宋_GB2312" w:cs="仿宋_GB2312" w:eastAsia="仿宋_GB2312"/>
                <w:b/>
              </w:rPr>
              <w:t>聚焦“综合指导、问卷调查、网上申报”技术指导服务专长，实现专业精准赋能。</w:t>
            </w:r>
          </w:p>
          <w:p>
            <w:pPr>
              <w:pStyle w:val="null3"/>
              <w:ind w:firstLine="640"/>
              <w:jc w:val="both"/>
            </w:pPr>
            <w:r>
              <w:rPr>
                <w:rFonts w:ascii="仿宋_GB2312" w:hAnsi="仿宋_GB2312" w:cs="仿宋_GB2312" w:eastAsia="仿宋_GB2312"/>
              </w:rPr>
              <w:t>长期深耕城市精细化管理咨询领域，拥有丰富的全国文明城市创建现场测评指导经验，熟悉创文现场测评指标体系（如市容环境整治、交通秩序规范、农贸市场管理、背街小巷提升等）。能够快速精准排查现场点位存在的问题，结合我县实际制定可落地的整改方案，并派驻专业团队驻场指导整改，有效解决“现场问题找不准、整改措施不精准”的痛点，助力我县在短时间内提升现场测评得分。创文工作的本质是全民参与，群众知晓率、支持率、满意度是测评关键指标。供应商在城市文明宣传策划、群众动员组织方面具备丰富经验，擅长结合本地文化特色设计接地气的宣传内容（如短视频、公益广告、主题活动等），能够指导我县搭建多渠道宣传矩阵，开展全民性创文宣传活动，有效提升市民对创文工作的知晓度和参与度，解决“宣传氛围不浓厚、群众参与度不足”的问题。网上资料申报是测评核心环节，要求材料齐全、逻辑清晰、数据准确，且需符合测评体系的规范要求。专注于政务类档案资料整理与申报指导，精通创文档案资料的分类标准、填报规范、佐证材料收集要点，能够指导我县各责任单位规范整理年度创文档案，弥补“档案整理不专业、资料佐证不充分”的短板，确保档案资料在测评中不丢分、得高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643"/>
              <w:jc w:val="both"/>
            </w:pPr>
            <w:r>
              <w:rPr>
                <w:rFonts w:ascii="仿宋_GB2312" w:hAnsi="仿宋_GB2312" w:cs="仿宋_GB2312" w:eastAsia="仿宋_GB2312"/>
                <w:b/>
              </w:rPr>
              <w:t>三、采购内容</w:t>
            </w:r>
          </w:p>
          <w:tbl>
            <w:tblPr>
              <w:tblBorders>
                <w:top w:val="none" w:color="000000" w:sz="4"/>
                <w:left w:val="none" w:color="000000" w:sz="4"/>
                <w:bottom w:val="none" w:color="000000" w:sz="4"/>
                <w:right w:val="none" w:color="000000" w:sz="4"/>
                <w:insideH w:val="none"/>
                <w:insideV w:val="none"/>
              </w:tblBorders>
            </w:tblPr>
            <w:tblGrid>
              <w:gridCol w:w="197"/>
              <w:gridCol w:w="340"/>
              <w:gridCol w:w="1415"/>
              <w:gridCol w:w="591"/>
            </w:tblGrid>
            <w:tr>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服务项目</w:t>
                  </w:r>
                </w:p>
              </w:tc>
              <w:tc>
                <w:tcPr>
                  <w:tcW w:type="dxa" w:w="1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服务内容</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服务形式</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指标体系解读</w:t>
                  </w:r>
                </w:p>
              </w:tc>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围绕《全国文明城市创建指标体系》，对</w:t>
                  </w:r>
                  <w:r>
                    <w:rPr>
                      <w:rFonts w:ascii="仿宋_GB2312" w:hAnsi="仿宋_GB2312" w:cs="仿宋_GB2312" w:eastAsia="仿宋_GB2312"/>
                      <w:sz w:val="19"/>
                    </w:rPr>
                    <w:t>新老指标变化、新的指标体系构成、评选方法、计分方式、考察形式等进行系统讲解。</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专家线下解读1次</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行动计划指导</w:t>
                  </w:r>
                </w:p>
              </w:tc>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依据《全国文明城市创建指标体系》，结合</w:t>
                  </w:r>
                  <w:r>
                    <w:rPr>
                      <w:rFonts w:ascii="仿宋_GB2312" w:hAnsi="仿宋_GB2312" w:cs="仿宋_GB2312" w:eastAsia="仿宋_GB2312"/>
                      <w:sz w:val="19"/>
                      <w:color w:val="000000"/>
                    </w:rPr>
                    <w:t>贵县</w:t>
                  </w:r>
                  <w:r>
                    <w:rPr>
                      <w:rFonts w:ascii="仿宋_GB2312" w:hAnsi="仿宋_GB2312" w:cs="仿宋_GB2312" w:eastAsia="仿宋_GB2312"/>
                      <w:sz w:val="19"/>
                      <w:color w:val="000000"/>
                    </w:rPr>
                    <w:t>实际，提供（2025—2027年）《创建全国文明城市三年行动计划》指导方案。</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专家线上提供参考方案</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界定创建范围</w:t>
                  </w:r>
                </w:p>
              </w:tc>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依据《全国文明城市创建指标体系》及中央文明办最新测评方式，组织对城市建成区概念解读，由专家带领督导员通过实地考察调研，科学界定创建范围。</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专家线下讲解1次和线上常态化答疑</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细化点位标准</w:t>
                  </w:r>
                </w:p>
              </w:tc>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依据《全国文明城市创建指标体系》，对三级指标规定的点位创建标准进行细化，制订可操作性强的点位创建标准指南。</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专家线上提供</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实地创建点位指导</w:t>
                  </w:r>
                </w:p>
              </w:tc>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组织专家带领督导员，对所有申报点位和不需申报且必查点位进行实地指导。</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专家或督导员线下指导</w:t>
                  </w:r>
                  <w:r>
                    <w:rPr>
                      <w:rFonts w:ascii="仿宋_GB2312" w:hAnsi="仿宋_GB2312" w:cs="仿宋_GB2312" w:eastAsia="仿宋_GB2312"/>
                      <w:sz w:val="19"/>
                      <w:color w:val="000000"/>
                    </w:rPr>
                    <w:t>2</w:t>
                  </w:r>
                  <w:r>
                    <w:rPr>
                      <w:rFonts w:ascii="仿宋_GB2312" w:hAnsi="仿宋_GB2312" w:cs="仿宋_GB2312" w:eastAsia="仿宋_GB2312"/>
                      <w:sz w:val="19"/>
                      <w:color w:val="000000"/>
                    </w:rPr>
                    <w:t>次</w:t>
                  </w:r>
                  <w:r>
                    <w:rPr>
                      <w:rFonts w:ascii="仿宋_GB2312" w:hAnsi="仿宋_GB2312" w:cs="仿宋_GB2312" w:eastAsia="仿宋_GB2312"/>
                      <w:sz w:val="19"/>
                      <w:color w:val="000000"/>
                    </w:rPr>
                    <w:t>，线上常态化指导</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问卷调查指导</w:t>
                  </w:r>
                </w:p>
              </w:tc>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协助划定城市入户问卷调查社区及小区，指导社区打造培育问卷单位，指导社区开展小区分布图的划定工作；(开展12345服务热线满意度考核水平提升指导工作)。</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专家线下指导1次</w:t>
                  </w:r>
                </w:p>
                <w:p>
                  <w:pPr>
                    <w:pStyle w:val="null3"/>
                    <w:jc w:val="center"/>
                  </w:pPr>
                  <w:r>
                    <w:rPr>
                      <w:rFonts w:ascii="仿宋_GB2312" w:hAnsi="仿宋_GB2312" w:cs="仿宋_GB2312" w:eastAsia="仿宋_GB2312"/>
                      <w:sz w:val="19"/>
                      <w:color w:val="000000"/>
                    </w:rPr>
                    <w:t>线上常态化指导</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网报材料申报服务</w:t>
                  </w:r>
                </w:p>
              </w:tc>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依据《全国文明城市创建指标体系》，组织相关责任部门及创建人员，对网报材料工作进行专项的培训和辅导，在实际操作中能正确把握创建重点和业务技能，确保网报工作提质增效。</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专家线下开展1次培训，线上常态化指导</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迎检</w:t>
                  </w:r>
                  <w:r>
                    <w:rPr>
                      <w:rFonts w:ascii="仿宋_GB2312" w:hAnsi="仿宋_GB2312" w:cs="仿宋_GB2312" w:eastAsia="仿宋_GB2312"/>
                      <w:sz w:val="19"/>
                      <w:color w:val="000000"/>
                    </w:rPr>
                    <w:t>前工作指导</w:t>
                  </w:r>
                </w:p>
              </w:tc>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在年度省检国测之前，组织专家对</w:t>
                  </w:r>
                  <w:r>
                    <w:rPr>
                      <w:rFonts w:ascii="仿宋_GB2312" w:hAnsi="仿宋_GB2312" w:cs="仿宋_GB2312" w:eastAsia="仿宋_GB2312"/>
                      <w:sz w:val="19"/>
                      <w:color w:val="000000"/>
                    </w:rPr>
                    <w:t>贵县</w:t>
                  </w:r>
                  <w:r>
                    <w:rPr>
                      <w:rFonts w:ascii="仿宋_GB2312" w:hAnsi="仿宋_GB2312" w:cs="仿宋_GB2312" w:eastAsia="仿宋_GB2312"/>
                      <w:sz w:val="19"/>
                      <w:color w:val="000000"/>
                    </w:rPr>
                    <w:t>填报实地考察各类点位进行把关指导；对测评时间、类型、点位和方式等进行分析预判；模拟制作实地考察操作表和问卷调查表。</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专家</w:t>
                  </w:r>
                  <w:r>
                    <w:rPr>
                      <w:rFonts w:ascii="仿宋_GB2312" w:hAnsi="仿宋_GB2312" w:cs="仿宋_GB2312" w:eastAsia="仿宋_GB2312"/>
                      <w:sz w:val="19"/>
                      <w:color w:val="000000"/>
                    </w:rPr>
                    <w:t>线上</w:t>
                  </w:r>
                  <w:r>
                    <w:rPr>
                      <w:rFonts w:ascii="仿宋_GB2312" w:hAnsi="仿宋_GB2312" w:cs="仿宋_GB2312" w:eastAsia="仿宋_GB2312"/>
                      <w:sz w:val="19"/>
                      <w:color w:val="000000"/>
                    </w:rPr>
                    <w:t>常态化指导</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模拟测评服务</w:t>
                  </w:r>
                </w:p>
              </w:tc>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以最新《全国文明城市测评体系操作手册》为标准，在甲方提供的申报点位中采取普测与暗访的形式进行实地考察。同时开展问卷调查（12345政务服务热线满意度工作指导）。实地考察、问卷调查结束10天内提供本次实地考察、问卷调查情况报告（包括实地考察和问卷调查情况汇总结果、存在主要问题和原因、问题整改建议），附点位得分排名、问题清单、问题现场图片（PPT）或视频资料（电子版）。</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专业团队实地测评1次</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自合同签订之日起至2026年5月31日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成交供应商提交项目所有的成果报告后，由采购人和成交供应商共同对项目进行整体验收。其内容包括是否按照采购人要求进行供货、是否在规定时间内供货完毕。 其他事项： 1、验收合格后，填写采购项目验收单作为对本次采购的最终认可。 2、供应商向采购人提供货物过程中的所有资料，以便采购人日后管理。 3、验收依据 3.1采购文件、响应文件、澄清表（函）； 3.2本合同及附件文本；3.3国家相应的标准、规范。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本服务项目无预付款，合同签订后，乙方根据合同要求实施。项目结束后，经验收符合规范需求，移交甲方管理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2、未按合同要求提供服务或服务质量不能满足技术要求，采购人有权终止合同，并对提供方违约行为进行追究，同时按《中华人民共和国政府采购法》的有关规定进行处罚。 3、双方发生合同争议时，应友好协商解决，不能达成协议时，及时向有关部门要求调解、仲裁或诉讼，发生索赔按现行法律、法规和合同执行。 4、本文件未尽事宜按《中华人民共和国政府采购法》、《中华人民共和国政府采购法实施条例》及有关规定执行。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人名称为三原县双创工作领导小组办公室。2.根据采购文件要求及合同约定执行；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3.为顺利推进政府采购电子化交易平台应用工作，供应商需要在线提交所有通过电子化交易平台实施的政府采购项目的响应文件，确定成交后，成交供应商须向代理机构提交纸质版磋商响应文件，正本壹份、副本贰份、电子版壹份（U盘）用于项目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如提供资信证明，须同时提供基本存款账户开户许可证或基本账户信息表）。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不得为“信用中国”网站（www.creditchina.gov.cn）中列入失信被执行人、重大税收违法失信主体名单，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应符合“竞争性磋商响应文件格式”要求（不得因文件排序限制和影响供应商响应）。</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应符合竞争性磋商响应文件要求。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磋商报价符合唯一性要求、响应报价表填写符合要求、报价货币符合磋商文件要求、报价数量与要求符合并未出现漏项、未超出采购预算和磋商文件规定的各分项最高限价；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 磋商响应文件中项目名称、项目编号与本项目一致；磋商响应文件至少包括：（1）响应函、（2）响应报价表、（3）供应商资格证明、（4）采购需求偏离表、（5）供应商承诺书。</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采购需求偏离表.pdf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对磋商文件条款响应</w:t>
            </w:r>
          </w:p>
        </w:tc>
        <w:tc>
          <w:tcPr>
            <w:tcW w:type="dxa" w:w="3322"/>
          </w:tcPr>
          <w:p>
            <w:pPr>
              <w:pStyle w:val="null3"/>
            </w:pPr>
            <w:r>
              <w:rPr>
                <w:rFonts w:ascii="仿宋_GB2312" w:hAnsi="仿宋_GB2312" w:cs="仿宋_GB2312" w:eastAsia="仿宋_GB2312"/>
              </w:rPr>
              <w:t>要求实质性条款全部响应，不能有采购人不能接受的附加条件，未有负偏离且响应的内容未含有采购人不能接受的附加条件。</w:t>
            </w:r>
          </w:p>
        </w:tc>
        <w:tc>
          <w:tcPr>
            <w:tcW w:type="dxa" w:w="1661"/>
          </w:tcPr>
          <w:p>
            <w:pPr>
              <w:pStyle w:val="null3"/>
            </w:pPr>
            <w:r>
              <w:rPr>
                <w:rFonts w:ascii="仿宋_GB2312" w:hAnsi="仿宋_GB2312" w:cs="仿宋_GB2312" w:eastAsia="仿宋_GB2312"/>
              </w:rPr>
              <w:t>采购需求偏离表.pdf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供应商提供的整体服务方案进行评审，内容包括但不限于①工作思路；②工作阶段划分及各阶段的工作内容；③执行的规范、标准和依据解读；④工作流程及工作办法；⑤合理化建议。方案各项内容全面详细、阐述条理清晰、功能配置合理，能有效保障本项目得 20 分，每有一项缺项扣 4 分，每项内容有一处存在缺陷，扣 1 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供应商提供的质量保证措施进行评审，内容包括但不限于①质量保证措施；②质量管理办法；③项目管理制度；④成果质量检查方案。方案各项内容全面详细、阐述条理清晰、功能配置合理，能有效保障本项目得 12 分，每有一项缺项扣 3 分，每项内容有一处存在缺陷，扣 1 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进度计划保障措施</w:t>
            </w:r>
          </w:p>
        </w:tc>
        <w:tc>
          <w:tcPr>
            <w:tcW w:type="dxa" w:w="2492"/>
          </w:tcPr>
          <w:p>
            <w:pPr>
              <w:pStyle w:val="null3"/>
            </w:pPr>
            <w:r>
              <w:rPr>
                <w:rFonts w:ascii="仿宋_GB2312" w:hAnsi="仿宋_GB2312" w:cs="仿宋_GB2312" w:eastAsia="仿宋_GB2312"/>
              </w:rPr>
              <w:t>根据供应商提供的进度计划保障措施进行评审，内容包括但不限于①项目实施进度目标分析；②项目进度计划安排方案；③项目进度保障。方案各项内容全面详细、阐述条理清晰、功能配置合理，能有效保障本项目得 12 分，每有一项缺项扣 4 分，每项内容有一处存在缺陷，扣 1 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组织架构及岗位职责</w:t>
            </w:r>
          </w:p>
        </w:tc>
        <w:tc>
          <w:tcPr>
            <w:tcW w:type="dxa" w:w="2492"/>
          </w:tcPr>
          <w:p>
            <w:pPr>
              <w:pStyle w:val="null3"/>
            </w:pPr>
            <w:r>
              <w:rPr>
                <w:rFonts w:ascii="仿宋_GB2312" w:hAnsi="仿宋_GB2312" w:cs="仿宋_GB2312" w:eastAsia="仿宋_GB2312"/>
              </w:rPr>
              <w:t>根据供应商提供的服务团队组织架构及岗位职责进行评审，内容包括但不限于①拟投入本项目的人员配置及分工；②人员相关专业素质；③岗位职责；④行为规范。方案各项内容全面详细、阐述条理清晰、功能配置合理，能有效保障本项目得 12 分，每有一项缺项扣 3 分，每项内容有一处存在缺陷，扣 1 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根据供应商提供的服务保障方案进行评审，内容包括但不限于①服务承诺；②服务保障措施；③廉洁从业的承诺；④重难点分析；⑤服务方式和响应处理时间。方案各项内容全面详细、阐述条理清晰、功能配置合理，能有效保障本项目得 10 分，每有一项缺项扣 2 分，每项内容有一处存在缺陷，扣 1 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根据供应商提供的保密措施进行评审，内容包括但不限于①保密管理制度；②保密责任；③具体工作保密措施；④保密承诺。 方案各项内容全面详细、阐述条理清晰、功能配置合理，能有效保障本项目得 8 分，每有一项缺项扣 2 分，每项内容有一处存在缺陷，扣 1 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根据供应商提供的应急预案进行评审，内容包括但不限于①预防机制及协调机制；②应急方案及处置措施。 方案各项内容全面详细、阐述条理清晰、功能配置合理，能有效保障本项目得 6 分，每有一项缺项扣 3 分，每项内容有一处存在缺陷，扣 1 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提供2023年1月1日至今承担的类似业绩。每提供1项得2分，满分10分。 （注：1.业绩证明文件以合同为准，时间以合同签订时间为准，未提供或不清晰导致无法识别的不予认可。）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1.满足磋商文件实质性要求且投标价格最低的投标报价为评标基准价，其价格分为满分10分。 2.报价得分=（评标基准价/投标报价）×10的公式计算得分。 3.投标报价不完整的，不进入评标标准价的计算，本项得0分。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详见附件：采购需求偏离表.pdf</w:t>
      </w:r>
    </w:p>
    <w:p>
      <w:pPr>
        <w:pStyle w:val="null3"/>
        <w:ind w:firstLine="960"/>
      </w:pPr>
      <w:r>
        <w:rPr>
          <w:rFonts w:ascii="仿宋_GB2312" w:hAnsi="仿宋_GB2312" w:cs="仿宋_GB2312" w:eastAsia="仿宋_GB2312"/>
        </w:rPr>
        <w:t>详见附件：磋商方案.pdf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