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8602D">
      <w:pPr>
        <w:pStyle w:val="2"/>
        <w:rPr>
          <w:rFonts w:hint="eastAsia"/>
          <w:lang w:val="en-US" w:eastAsia="zh-CN"/>
        </w:rPr>
      </w:pPr>
    </w:p>
    <w:p w14:paraId="22A08255">
      <w:pPr>
        <w:jc w:val="center"/>
        <w:rPr>
          <w:rFonts w:hint="eastAsia" w:ascii="楷体" w:hAnsi="楷体" w:eastAsia="楷体" w:cs="楷体"/>
          <w:b/>
          <w:bCs/>
          <w:color w:val="auto"/>
          <w:sz w:val="52"/>
          <w:szCs w:val="72"/>
          <w:highlight w:val="none"/>
          <w:lang w:val="en-US" w:eastAsia="zh-CN"/>
        </w:rPr>
      </w:pPr>
    </w:p>
    <w:p w14:paraId="0A44B098">
      <w:pPr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b/>
          <w:bCs/>
          <w:color w:val="auto"/>
          <w:sz w:val="52"/>
          <w:szCs w:val="7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52"/>
          <w:szCs w:val="72"/>
          <w:highlight w:val="none"/>
          <w:lang w:val="en-US" w:eastAsia="zh-CN"/>
        </w:rPr>
        <w:t>三原县创建全国文明城市引入</w:t>
      </w:r>
    </w:p>
    <w:p w14:paraId="3016726C">
      <w:pPr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b/>
          <w:bCs/>
          <w:color w:val="auto"/>
          <w:sz w:val="52"/>
          <w:szCs w:val="7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52"/>
          <w:szCs w:val="72"/>
          <w:highlight w:val="none"/>
          <w:lang w:val="en-US" w:eastAsia="zh-CN"/>
        </w:rPr>
        <w:t>第三方公司指导服务</w:t>
      </w:r>
    </w:p>
    <w:p w14:paraId="7032810D">
      <w:pPr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b/>
          <w:bCs/>
          <w:color w:val="auto"/>
          <w:sz w:val="52"/>
          <w:szCs w:val="72"/>
          <w:highlight w:val="none"/>
          <w:lang w:val="en-US" w:eastAsia="zh-CN"/>
        </w:rPr>
      </w:pPr>
    </w:p>
    <w:p w14:paraId="6AD83558">
      <w:pPr>
        <w:jc w:val="center"/>
        <w:rPr>
          <w:rFonts w:hint="eastAsia" w:ascii="楷体" w:hAnsi="楷体" w:eastAsia="楷体" w:cs="楷体"/>
          <w:b/>
          <w:bCs/>
          <w:color w:val="auto"/>
          <w:sz w:val="40"/>
          <w:szCs w:val="48"/>
          <w:highlight w:val="none"/>
        </w:rPr>
      </w:pPr>
    </w:p>
    <w:p w14:paraId="74F6E185">
      <w:pPr>
        <w:jc w:val="center"/>
        <w:rPr>
          <w:rFonts w:hint="eastAsia" w:ascii="楷体" w:hAnsi="楷体" w:eastAsia="楷体" w:cs="楷体"/>
          <w:b/>
          <w:bCs/>
          <w:color w:val="auto"/>
          <w:sz w:val="40"/>
          <w:szCs w:val="48"/>
          <w:highlight w:val="none"/>
        </w:rPr>
      </w:pPr>
    </w:p>
    <w:p w14:paraId="65D07C08">
      <w:pPr>
        <w:jc w:val="center"/>
        <w:rPr>
          <w:rFonts w:hint="eastAsia" w:ascii="楷体" w:hAnsi="楷体" w:eastAsia="楷体" w:cs="楷体"/>
          <w:b/>
          <w:bCs/>
          <w:color w:val="auto"/>
          <w:sz w:val="40"/>
          <w:szCs w:val="48"/>
          <w:highlight w:val="none"/>
        </w:rPr>
      </w:pPr>
    </w:p>
    <w:p w14:paraId="039906F0">
      <w:pPr>
        <w:jc w:val="center"/>
        <w:rPr>
          <w:rFonts w:hint="eastAsia" w:ascii="楷体" w:hAnsi="楷体" w:eastAsia="楷体" w:cs="楷体"/>
          <w:b/>
          <w:bCs/>
          <w:color w:val="auto"/>
          <w:sz w:val="40"/>
          <w:szCs w:val="48"/>
          <w:highlight w:val="none"/>
        </w:rPr>
      </w:pPr>
    </w:p>
    <w:p w14:paraId="0548D250">
      <w:pPr>
        <w:jc w:val="center"/>
        <w:rPr>
          <w:rFonts w:hint="eastAsia" w:ascii="楷体" w:hAnsi="楷体" w:eastAsia="楷体" w:cs="楷体"/>
          <w:b/>
          <w:bCs/>
          <w:color w:val="auto"/>
          <w:sz w:val="52"/>
          <w:szCs w:val="72"/>
          <w:highlight w:val="none"/>
        </w:rPr>
      </w:pPr>
    </w:p>
    <w:p w14:paraId="5BAFE074">
      <w:pPr>
        <w:jc w:val="center"/>
        <w:rPr>
          <w:rFonts w:hint="eastAsia" w:ascii="楷体" w:hAnsi="楷体" w:eastAsia="楷体" w:cs="楷体"/>
          <w:b/>
          <w:bCs/>
          <w:color w:val="auto"/>
          <w:sz w:val="52"/>
          <w:szCs w:val="7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52"/>
          <w:szCs w:val="72"/>
          <w:highlight w:val="none"/>
        </w:rPr>
        <w:t>采购合同</w:t>
      </w:r>
    </w:p>
    <w:p w14:paraId="47F49CA6">
      <w:pPr>
        <w:jc w:val="center"/>
        <w:rPr>
          <w:rFonts w:hint="eastAsia" w:ascii="楷体" w:hAnsi="楷体" w:eastAsia="楷体" w:cs="楷体"/>
          <w:color w:val="auto"/>
          <w:sz w:val="44"/>
          <w:szCs w:val="44"/>
          <w:highlight w:val="none"/>
        </w:rPr>
      </w:pPr>
    </w:p>
    <w:p w14:paraId="4416E3C1">
      <w:pPr>
        <w:jc w:val="center"/>
        <w:rPr>
          <w:rFonts w:hint="eastAsia" w:ascii="楷体" w:hAnsi="楷体" w:eastAsia="楷体" w:cs="楷体"/>
          <w:color w:val="auto"/>
          <w:sz w:val="44"/>
          <w:szCs w:val="44"/>
          <w:highlight w:val="none"/>
        </w:rPr>
      </w:pPr>
    </w:p>
    <w:p w14:paraId="39053287">
      <w:pPr>
        <w:jc w:val="center"/>
        <w:rPr>
          <w:rFonts w:hint="eastAsia" w:ascii="楷体" w:hAnsi="楷体" w:eastAsia="楷体" w:cs="楷体"/>
          <w:b/>
          <w:color w:val="auto"/>
          <w:sz w:val="36"/>
          <w:szCs w:val="36"/>
          <w:highlight w:val="none"/>
        </w:rPr>
      </w:pPr>
      <w:r>
        <w:rPr>
          <w:rFonts w:hint="eastAsia" w:ascii="楷体" w:hAnsi="楷体" w:eastAsia="楷体" w:cs="楷体"/>
          <w:b/>
          <w:color w:val="auto"/>
          <w:sz w:val="36"/>
          <w:szCs w:val="36"/>
          <w:highlight w:val="none"/>
        </w:rPr>
        <w:t>（示范文本）</w:t>
      </w:r>
    </w:p>
    <w:p w14:paraId="40C9B875">
      <w:pPr>
        <w:jc w:val="center"/>
        <w:rPr>
          <w:rFonts w:ascii="楷体" w:hAnsi="楷体" w:eastAsia="楷体" w:cs="仿宋"/>
          <w:sz w:val="28"/>
          <w:szCs w:val="32"/>
          <w:highlight w:val="none"/>
        </w:rPr>
      </w:pPr>
      <w:r>
        <w:rPr>
          <w:rFonts w:hint="eastAsia" w:ascii="楷体" w:hAnsi="楷体" w:eastAsia="楷体" w:cs="仿宋"/>
          <w:sz w:val="28"/>
          <w:szCs w:val="32"/>
          <w:highlight w:val="none"/>
          <w:lang w:eastAsia="zh-CN"/>
        </w:rPr>
        <w:t>成交人</w:t>
      </w:r>
      <w:r>
        <w:rPr>
          <w:rFonts w:hint="eastAsia" w:ascii="楷体" w:hAnsi="楷体" w:eastAsia="楷体" w:cs="仿宋"/>
          <w:sz w:val="28"/>
          <w:szCs w:val="32"/>
          <w:highlight w:val="none"/>
        </w:rPr>
        <w:t>和采购人也可根据项目特点自行拟定合同条款。</w:t>
      </w:r>
    </w:p>
    <w:p w14:paraId="1E3D6985">
      <w:pPr>
        <w:spacing w:before="156" w:beforeLines="50" w:line="400" w:lineRule="exact"/>
        <w:jc w:val="center"/>
        <w:rPr>
          <w:rFonts w:hint="eastAsia" w:ascii="楷体" w:hAnsi="楷体" w:eastAsia="楷体" w:cs="楷体"/>
          <w:b/>
          <w:bCs/>
          <w:color w:val="auto"/>
          <w:sz w:val="36"/>
          <w:szCs w:val="32"/>
          <w:highlight w:val="none"/>
        </w:rPr>
      </w:pPr>
      <w:r>
        <w:rPr>
          <w:rFonts w:hint="eastAsia" w:ascii="楷体" w:hAnsi="楷体" w:eastAsia="楷体" w:cs="楷体"/>
          <w:bCs/>
          <w:color w:val="auto"/>
          <w:sz w:val="48"/>
          <w:szCs w:val="48"/>
          <w:highlight w:val="none"/>
        </w:rPr>
        <w:br w:type="page"/>
      </w:r>
      <w:r>
        <w:rPr>
          <w:rFonts w:hint="eastAsia" w:ascii="楷体" w:hAnsi="楷体" w:eastAsia="楷体" w:cs="楷体"/>
          <w:b/>
          <w:bCs/>
          <w:color w:val="auto"/>
          <w:sz w:val="36"/>
          <w:szCs w:val="32"/>
          <w:highlight w:val="none"/>
        </w:rPr>
        <w:t>第一部分  协议书</w:t>
      </w:r>
    </w:p>
    <w:p w14:paraId="67014388">
      <w:pPr>
        <w:adjustRightInd w:val="0"/>
        <w:snapToGrid w:val="0"/>
        <w:spacing w:line="360" w:lineRule="auto"/>
        <w:ind w:firstLine="482" w:firstLineChars="200"/>
        <w:rPr>
          <w:rFonts w:hint="eastAsia" w:ascii="楷体" w:hAnsi="楷体" w:eastAsia="楷体" w:cs="楷体"/>
          <w:b/>
          <w:color w:val="auto"/>
          <w:highlight w:val="none"/>
          <w:u w:val="single"/>
        </w:rPr>
      </w:pPr>
      <w:r>
        <w:rPr>
          <w:rFonts w:hint="eastAsia" w:ascii="楷体" w:hAnsi="楷体" w:eastAsia="楷体" w:cs="楷体"/>
          <w:b/>
          <w:color w:val="auto"/>
          <w:highlight w:val="none"/>
        </w:rPr>
        <w:t>采购人（全称）：</w:t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color w:val="auto"/>
          <w:highlight w:val="none"/>
          <w:u w:val="single"/>
        </w:rPr>
        <w:t xml:space="preserve">                                   </w:t>
      </w:r>
    </w:p>
    <w:p w14:paraId="15C2FAB3">
      <w:pPr>
        <w:adjustRightInd w:val="0"/>
        <w:snapToGrid w:val="0"/>
        <w:spacing w:line="360" w:lineRule="auto"/>
        <w:ind w:firstLine="482" w:firstLineChars="200"/>
        <w:rPr>
          <w:rFonts w:hint="eastAsia" w:ascii="楷体" w:hAnsi="楷体" w:eastAsia="楷体" w:cs="楷体"/>
          <w:color w:val="auto"/>
          <w:highlight w:val="none"/>
          <w:u w:val="single"/>
        </w:rPr>
      </w:pPr>
      <w:r>
        <w:rPr>
          <w:rFonts w:hint="eastAsia" w:ascii="楷体" w:hAnsi="楷体" w:eastAsia="楷体" w:cs="楷体"/>
          <w:b/>
          <w:color w:val="auto"/>
          <w:highlight w:val="none"/>
          <w:lang w:eastAsia="zh-CN"/>
        </w:rPr>
        <w:t>供应商</w:t>
      </w:r>
      <w:r>
        <w:rPr>
          <w:rFonts w:hint="eastAsia" w:ascii="楷体" w:hAnsi="楷体" w:eastAsia="楷体" w:cs="楷体"/>
          <w:b/>
          <w:color w:val="auto"/>
          <w:highlight w:val="none"/>
        </w:rPr>
        <w:t>（全称）：</w:t>
      </w:r>
      <w:r>
        <w:rPr>
          <w:rFonts w:hint="eastAsia" w:ascii="楷体" w:hAnsi="楷体" w:eastAsia="楷体" w:cs="楷体"/>
          <w:color w:val="auto"/>
          <w:highlight w:val="none"/>
          <w:u w:val="single"/>
        </w:rPr>
        <w:t xml:space="preserve">                                         </w:t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b/>
          <w:color w:val="auto"/>
          <w:highlight w:val="none"/>
          <w:u w:val="single"/>
        </w:rPr>
        <w:t xml:space="preserve">                                       </w:t>
      </w:r>
      <w:r>
        <w:rPr>
          <w:rFonts w:hint="eastAsia" w:ascii="楷体" w:hAnsi="楷体" w:eastAsia="楷体" w:cs="楷体"/>
          <w:color w:val="auto"/>
          <w:highlight w:val="none"/>
          <w:u w:val="single"/>
        </w:rPr>
        <w:t xml:space="preserve">   </w:t>
      </w:r>
    </w:p>
    <w:p w14:paraId="379AE092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u w:val="single"/>
        </w:rPr>
      </w:pPr>
      <w:r>
        <w:rPr>
          <w:rFonts w:hint="eastAsia" w:ascii="楷体" w:hAnsi="楷体" w:eastAsia="楷体" w:cs="楷体"/>
          <w:color w:val="auto"/>
          <w:highlight w:val="none"/>
        </w:rPr>
        <w:t>依照《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中华人民共和国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民法典</w:t>
      </w:r>
      <w:r>
        <w:rPr>
          <w:rFonts w:hint="eastAsia" w:ascii="楷体" w:hAnsi="楷体" w:eastAsia="楷体" w:cs="楷体"/>
          <w:color w:val="auto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20C79479">
      <w:pPr>
        <w:spacing w:line="360" w:lineRule="auto"/>
        <w:rPr>
          <w:rFonts w:hint="eastAsia" w:ascii="楷体" w:hAnsi="楷体" w:eastAsia="楷体" w:cs="楷体"/>
          <w:b/>
          <w:color w:val="auto"/>
          <w:highlight w:val="none"/>
        </w:rPr>
      </w:pPr>
      <w:r>
        <w:rPr>
          <w:rFonts w:hint="eastAsia" w:ascii="楷体" w:hAnsi="楷体" w:eastAsia="楷体" w:cs="楷体"/>
          <w:b/>
          <w:color w:val="auto"/>
          <w:highlight w:val="none"/>
        </w:rPr>
        <w:t>一、项目概况</w:t>
      </w:r>
    </w:p>
    <w:p w14:paraId="0AF48C80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>1.项目名称：</w:t>
      </w:r>
      <w:r>
        <w:rPr>
          <w:rFonts w:hint="eastAsia" w:ascii="楷体" w:hAnsi="楷体" w:eastAsia="楷体" w:cs="楷体"/>
          <w:color w:val="auto"/>
          <w:highlight w:val="none"/>
          <w:u w:val="single"/>
        </w:rPr>
        <w:t xml:space="preserve">                                            </w:t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  <w:r>
        <w:rPr>
          <w:rFonts w:hint="eastAsia" w:ascii="楷体" w:hAnsi="楷体" w:eastAsia="楷体" w:cs="楷体"/>
          <w:color w:val="auto"/>
          <w:highlight w:val="none"/>
        </w:rPr>
        <w:t xml:space="preserve">                                             </w:t>
      </w:r>
    </w:p>
    <w:p w14:paraId="7EA7F2E3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highlight w:val="none"/>
          <w:u w:val="single"/>
        </w:rPr>
      </w:pPr>
      <w:r>
        <w:rPr>
          <w:rFonts w:hint="eastAsia" w:ascii="楷体" w:hAnsi="楷体" w:eastAsia="楷体" w:cs="楷体"/>
          <w:color w:val="auto"/>
          <w:highlight w:val="none"/>
        </w:rPr>
        <w:t>2.项目地点：</w:t>
      </w:r>
      <w:r>
        <w:rPr>
          <w:rFonts w:hint="eastAsia" w:ascii="楷体" w:hAnsi="楷体" w:eastAsia="楷体" w:cs="楷体"/>
          <w:color w:val="auto"/>
          <w:highlight w:val="none"/>
          <w:u w:val="single"/>
        </w:rPr>
        <w:t xml:space="preserve">                                            </w:t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</w:p>
    <w:p w14:paraId="1FC95951">
      <w:pPr>
        <w:adjustRightInd w:val="0"/>
        <w:snapToGrid w:val="0"/>
        <w:spacing w:line="360" w:lineRule="auto"/>
        <w:ind w:firstLine="475" w:firstLineChars="198"/>
        <w:jc w:val="left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3.项目内容：</w:t>
      </w:r>
      <w:r>
        <w:rPr>
          <w:rFonts w:hint="eastAsia" w:ascii="楷体" w:hAnsi="楷体" w:eastAsia="楷体" w:cs="楷体"/>
          <w:color w:val="auto"/>
          <w:highlight w:val="none"/>
          <w:u w:val="single"/>
        </w:rPr>
        <w:t xml:space="preserve">                                            </w:t>
      </w:r>
      <w:r>
        <w:rPr>
          <w:rFonts w:hint="eastAsia" w:ascii="楷体" w:hAnsi="楷体" w:eastAsia="楷体" w:cs="楷体"/>
          <w:color w:val="auto"/>
          <w:highlight w:val="none"/>
          <w:u w:val="single"/>
          <w:lang w:val="en-US" w:eastAsia="zh-CN"/>
        </w:rPr>
        <w:tab/>
      </w:r>
    </w:p>
    <w:p w14:paraId="20EA462F">
      <w:pPr>
        <w:spacing w:line="360" w:lineRule="auto"/>
        <w:rPr>
          <w:rFonts w:hint="eastAsia" w:ascii="楷体" w:hAnsi="楷体" w:eastAsia="楷体" w:cs="楷体"/>
          <w:b/>
          <w:color w:val="auto"/>
          <w:highlight w:val="none"/>
        </w:rPr>
      </w:pPr>
      <w:r>
        <w:rPr>
          <w:rFonts w:hint="eastAsia" w:ascii="楷体" w:hAnsi="楷体" w:eastAsia="楷体" w:cs="楷体"/>
          <w:b/>
          <w:color w:val="auto"/>
          <w:highlight w:val="none"/>
        </w:rPr>
        <w:t>二、组成本合同的文件</w:t>
      </w:r>
    </w:p>
    <w:p w14:paraId="061CF463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>1. 协议书；</w:t>
      </w:r>
    </w:p>
    <w:p w14:paraId="417BC7BB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 xml:space="preserve">2. </w:t>
      </w:r>
      <w:r>
        <w:rPr>
          <w:rFonts w:hint="eastAsia" w:ascii="楷体" w:hAnsi="楷体" w:eastAsia="楷体" w:cs="楷体"/>
          <w:color w:val="auto"/>
          <w:highlight w:val="none"/>
          <w:lang w:eastAsia="zh-CN"/>
        </w:rPr>
        <w:t>成交</w:t>
      </w:r>
      <w:r>
        <w:rPr>
          <w:rFonts w:hint="eastAsia" w:ascii="楷体" w:hAnsi="楷体" w:eastAsia="楷体" w:cs="楷体"/>
          <w:color w:val="auto"/>
          <w:highlight w:val="none"/>
        </w:rPr>
        <w:t>通知书、</w:t>
      </w: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响应</w:t>
      </w:r>
      <w:r>
        <w:rPr>
          <w:rFonts w:hint="eastAsia" w:ascii="楷体" w:hAnsi="楷体" w:eastAsia="楷体" w:cs="楷体"/>
          <w:color w:val="auto"/>
          <w:highlight w:val="none"/>
        </w:rPr>
        <w:t>文件、</w:t>
      </w: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磋商</w:t>
      </w:r>
      <w:r>
        <w:rPr>
          <w:rFonts w:hint="eastAsia" w:ascii="楷体" w:hAnsi="楷体" w:eastAsia="楷体" w:cs="楷体"/>
          <w:color w:val="auto"/>
          <w:highlight w:val="none"/>
        </w:rPr>
        <w:t>文件、澄清、补充文件（或委托书）；</w:t>
      </w:r>
    </w:p>
    <w:p w14:paraId="415D2B43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>3. 相关服务建议书；</w:t>
      </w:r>
    </w:p>
    <w:p w14:paraId="62554F16">
      <w:pPr>
        <w:adjustRightInd w:val="0"/>
        <w:snapToGrid w:val="0"/>
        <w:spacing w:line="360" w:lineRule="auto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 xml:space="preserve">    4. 附录，即：附表内相关服务的范围和内容；</w:t>
      </w:r>
    </w:p>
    <w:p w14:paraId="08538FBD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>本合同签订后，双方依法签订的补充协议也是本合同文件的组成部分。</w:t>
      </w:r>
    </w:p>
    <w:p w14:paraId="481EE357">
      <w:pPr>
        <w:spacing w:line="360" w:lineRule="auto"/>
        <w:rPr>
          <w:rFonts w:hint="eastAsia" w:ascii="楷体" w:hAnsi="楷体" w:eastAsia="楷体" w:cs="楷体"/>
          <w:b/>
          <w:color w:val="auto"/>
          <w:highlight w:val="none"/>
        </w:rPr>
      </w:pPr>
      <w:r>
        <w:rPr>
          <w:rFonts w:hint="eastAsia" w:ascii="楷体" w:hAnsi="楷体" w:eastAsia="楷体" w:cs="楷体"/>
          <w:b/>
          <w:color w:val="auto"/>
          <w:highlight w:val="none"/>
        </w:rPr>
        <w:t>三、合同价款</w:t>
      </w:r>
    </w:p>
    <w:p w14:paraId="7923B1CC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>1.合同金额（大写）：</w:t>
      </w:r>
      <w:r>
        <w:rPr>
          <w:rFonts w:hint="eastAsia" w:ascii="楷体" w:hAnsi="楷体" w:eastAsia="楷体" w:cs="楷体"/>
          <w:color w:val="auto"/>
          <w:highlight w:val="none"/>
          <w:u w:val="single"/>
        </w:rPr>
        <w:t xml:space="preserve">                            </w:t>
      </w:r>
      <w:r>
        <w:rPr>
          <w:rFonts w:hint="eastAsia" w:ascii="楷体" w:hAnsi="楷体" w:eastAsia="楷体" w:cs="楷体"/>
          <w:color w:val="auto"/>
          <w:highlight w:val="none"/>
        </w:rPr>
        <w:t>（￥       ）。</w:t>
      </w:r>
    </w:p>
    <w:p w14:paraId="040142C5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>2.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合同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价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即</w:t>
      </w:r>
      <w:r>
        <w:rPr>
          <w:rFonts w:hint="eastAsia" w:ascii="楷体" w:hAnsi="楷体" w:eastAsia="楷体" w:cs="楷体"/>
          <w:color w:val="auto"/>
          <w:szCs w:val="24"/>
          <w:highlight w:val="none"/>
          <w:lang w:eastAsia="zh-CN"/>
        </w:rPr>
        <w:t>成交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价，不受市场价变化或实际工作量变化的影响。</w:t>
      </w:r>
    </w:p>
    <w:p w14:paraId="1B0F131B">
      <w:pPr>
        <w:adjustRightInd w:val="0"/>
        <w:snapToGrid w:val="0"/>
        <w:spacing w:line="360" w:lineRule="auto"/>
        <w:rPr>
          <w:rFonts w:hint="default" w:ascii="楷体" w:hAnsi="楷体" w:eastAsia="楷体" w:cs="楷体"/>
          <w:b/>
          <w:color w:val="auto"/>
          <w:szCs w:val="24"/>
          <w:highlight w:val="none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四、项目实施地点、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lang w:val="en-US" w:eastAsia="zh-CN"/>
        </w:rPr>
        <w:t>服务期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：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u w:val="none"/>
          <w:lang w:val="en-US" w:eastAsia="zh-CN"/>
        </w:rPr>
        <w:t>。</w:t>
      </w:r>
    </w:p>
    <w:p w14:paraId="3E0B3E5F">
      <w:pPr>
        <w:adjustRightInd w:val="0"/>
        <w:snapToGrid w:val="0"/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五、付款方式：</w:t>
      </w:r>
    </w:p>
    <w:p w14:paraId="340067D9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本服务项目无预付款，合同签订后，乙方根据合同要求实施。项目结束后，经验收符合规范需求，移交甲方管理 ，达到付款条件起 30 日内，支付合同总金额的 100.00%。</w:t>
      </w:r>
    </w:p>
    <w:p w14:paraId="736ECCF0">
      <w:pPr>
        <w:adjustRightInd w:val="0"/>
        <w:snapToGrid w:val="0"/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六、质量保证：</w:t>
      </w:r>
    </w:p>
    <w:p w14:paraId="4BC9E74D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1.在服务范围内按工作内容和要求制定详细的方案，方案科学、合理、可靠。</w:t>
      </w:r>
    </w:p>
    <w:p w14:paraId="5C4B628B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2.人员配备合理。有针对本项目的专项服务小组，项目负责人、工作人员分工明确（应有具体成员名单，包括姓名、工作职责、联系方式等）</w:t>
      </w:r>
    </w:p>
    <w:p w14:paraId="3942BA80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3.有各类突发事件的应急预案和措施，有明确具体的承诺。</w:t>
      </w:r>
    </w:p>
    <w:p w14:paraId="698EB6EC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仿宋"/>
          <w:b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4.供应商所拟派的工作人员，若在服务期间发生任何伤害，采购人概不负责，由</w:t>
      </w:r>
      <w:r>
        <w:rPr>
          <w:rFonts w:hint="eastAsia" w:ascii="楷体" w:hAnsi="楷体" w:eastAsia="楷体" w:cs="楷体"/>
          <w:szCs w:val="24"/>
          <w:highlight w:val="none"/>
        </w:rPr>
        <w:t>供应商自行处理</w:t>
      </w:r>
      <w:r>
        <w:rPr>
          <w:rFonts w:hint="eastAsia" w:ascii="楷体" w:hAnsi="楷体" w:eastAsia="楷体"/>
          <w:szCs w:val="24"/>
          <w:highlight w:val="none"/>
        </w:rPr>
        <w:t>。</w:t>
      </w:r>
    </w:p>
    <w:p w14:paraId="030B11F8">
      <w:pPr>
        <w:adjustRightInd w:val="0"/>
        <w:snapToGrid w:val="0"/>
        <w:spacing w:line="360" w:lineRule="auto"/>
        <w:rPr>
          <w:rFonts w:hint="eastAsia" w:ascii="楷体" w:hAnsi="楷体" w:eastAsia="楷体" w:cs="仿宋"/>
          <w:b/>
          <w:szCs w:val="24"/>
          <w:highlight w:val="none"/>
        </w:rPr>
      </w:pPr>
      <w:r>
        <w:rPr>
          <w:rFonts w:hint="eastAsia" w:ascii="楷体" w:hAnsi="楷体" w:eastAsia="楷体" w:cs="仿宋"/>
          <w:b/>
          <w:szCs w:val="24"/>
          <w:highlight w:val="none"/>
          <w:lang w:val="en-US" w:eastAsia="zh-CN"/>
        </w:rPr>
        <w:t>七</w:t>
      </w:r>
      <w:r>
        <w:rPr>
          <w:rFonts w:hint="eastAsia" w:ascii="楷体" w:hAnsi="楷体" w:eastAsia="楷体" w:cs="仿宋"/>
          <w:b/>
          <w:szCs w:val="24"/>
          <w:highlight w:val="none"/>
        </w:rPr>
        <w:t>、项目团队要求：</w:t>
      </w:r>
    </w:p>
    <w:p w14:paraId="640A835A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079661DC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>2.签订合同之前，成交供应商须提供项目组人员一览表，与磋商响应文件的人员一览表进行比对，人员变更须征得采购人同意，变更不得超过30%。</w:t>
      </w:r>
    </w:p>
    <w:p w14:paraId="6ECAB04A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  <w:lang w:val="en-US" w:eastAsia="zh-CN"/>
        </w:rPr>
        <w:t>八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、考核验收：</w:t>
      </w:r>
    </w:p>
    <w:p w14:paraId="57F44797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 xml:space="preserve">（一）成交供应商提交项目所有的成果报告后，由采购人和成交供应商共同对项目进行整体验收。其内容包括是否按照采购人要求进行供货、是否在规定时间内供货完毕。 </w:t>
      </w:r>
    </w:p>
    <w:p w14:paraId="7337094A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 xml:space="preserve">（二）验收合格后，填写采购项目验收单作为对本次采购的最终认可。 </w:t>
      </w:r>
    </w:p>
    <w:p w14:paraId="169455A9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（三）供应商向采购人提供货物过程中的所有资料,以便采购人日后管理。</w:t>
      </w:r>
    </w:p>
    <w:p w14:paraId="00CA1C45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 xml:space="preserve">（四）验收依据： </w:t>
      </w:r>
    </w:p>
    <w:p w14:paraId="7221C4F3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1.采购文件、响应文件、澄清表（函）；</w:t>
      </w:r>
    </w:p>
    <w:p w14:paraId="077B55F0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2.本合同及附件文本；</w:t>
      </w:r>
    </w:p>
    <w:p w14:paraId="02C49AC4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 xml:space="preserve">3.国家相应的标准、规范。 </w:t>
      </w:r>
    </w:p>
    <w:p w14:paraId="33518FBC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  <w:lang w:val="en-US" w:eastAsia="zh-CN"/>
        </w:rPr>
        <w:t>九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、违约责任</w:t>
      </w:r>
    </w:p>
    <w:p w14:paraId="08637255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 xml:space="preserve">1.按《中华人民共和国民法典》中的相关条款执行。 </w:t>
      </w:r>
    </w:p>
    <w:p w14:paraId="7D0526E9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 xml:space="preserve">2.未按合同要求提供货物或货物质量不能满足技术要求，采购人有权终止合同，并对提供方违约行为进行追究，同时按《中华人民共和国政府采购法》的有关规定进行处罚。 </w:t>
      </w:r>
    </w:p>
    <w:p w14:paraId="2CE068B4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3.双方发生合同争议时，应友好协商解决，不能达成协议时，及时向有关部门要求调解、仲裁或诉讼，发生索赔按现行法律、法规和合同执行。</w:t>
      </w:r>
    </w:p>
    <w:p w14:paraId="25293788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 xml:space="preserve">4.本文件未尽事宜按《中华人民共和国政府采购法》、《中华人民共和国政府采购法实施条例》及有关规定执行。 </w:t>
      </w:r>
    </w:p>
    <w:p w14:paraId="7CFCEDCD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  <w:lang w:val="en-US" w:eastAsia="zh-CN"/>
        </w:rPr>
        <w:t>十、知识产权归属和处理方式</w:t>
      </w:r>
    </w:p>
    <w:p w14:paraId="1A9877C9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1.供应商应保证在本项日中使用的任何技术、产品和服务(包括部分使用)，不会产生因第三方提出侵犯其专利权、商标权或其它知识产权而引起的法律和经济纠纷，如存在前述情形，由供应商承担所有相关责任。采购人享有本项目实施过程中产生的知识成果及知识产权。</w:t>
      </w:r>
    </w:p>
    <w:p w14:paraId="03C7688D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2.供应商将在采购项目实施过程中采用自有或者第三方知识成果的，使用该知识成果后，供应商需提供开发接口和开发手册等技术资料，并承诺提供无限期支持，采购人享有使用权(含采购人委托第三方在该项目后续开发的使用权)。</w:t>
      </w:r>
    </w:p>
    <w:p w14:paraId="11E81A32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3.如采用供应商所不拥有的知识产权，则在报价中必须包括合法使用该知识产权的相关费用。</w:t>
      </w:r>
    </w:p>
    <w:p w14:paraId="787A972E">
      <w:pPr>
        <w:adjustRightInd w:val="0"/>
        <w:snapToGrid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highlight w:val="none"/>
          <w:lang w:val="en-US" w:eastAsia="zh-CN"/>
        </w:rPr>
        <w:t>4.构成本采购文件的各组成部分，未经采购人书面同意，供应商不得擅自复印或用于非本采购项目所需的其他目的。</w:t>
      </w:r>
    </w:p>
    <w:p w14:paraId="558E59C5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  <w:lang w:val="en-US" w:eastAsia="zh-CN"/>
        </w:rPr>
        <w:t>十一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、合同争议的解决</w:t>
      </w:r>
    </w:p>
    <w:p w14:paraId="7F29E65F">
      <w:pPr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highlight w:val="none"/>
        </w:rPr>
        <w:t>合同执行中发生争议的，当事人双方应协商解决，协商达不成一致时，可向采购人所在地人民法院提请诉讼。</w:t>
      </w:r>
    </w:p>
    <w:p w14:paraId="11BC61BB">
      <w:pPr>
        <w:spacing w:line="360" w:lineRule="auto"/>
        <w:jc w:val="left"/>
        <w:rPr>
          <w:rFonts w:hint="eastAsia" w:ascii="楷体" w:hAnsi="楷体" w:eastAsia="楷体" w:cs="楷体"/>
          <w:b/>
          <w:bCs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Cs w:val="24"/>
          <w:highlight w:val="none"/>
          <w:lang w:val="en-US" w:eastAsia="zh-CN"/>
        </w:rPr>
        <w:t>十二</w:t>
      </w:r>
      <w:r>
        <w:rPr>
          <w:rFonts w:hint="eastAsia" w:ascii="楷体" w:hAnsi="楷体" w:eastAsia="楷体" w:cs="楷体"/>
          <w:b/>
          <w:bCs/>
          <w:color w:val="auto"/>
          <w:szCs w:val="24"/>
          <w:highlight w:val="none"/>
        </w:rPr>
        <w:t>、不可抗力情况下的免责约定</w:t>
      </w:r>
    </w:p>
    <w:p w14:paraId="6984BE58">
      <w:pPr>
        <w:spacing w:line="360" w:lineRule="auto"/>
        <w:jc w:val="left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5F233793">
      <w:pPr>
        <w:spacing w:line="360" w:lineRule="auto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十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  <w:lang w:val="en-US" w:eastAsia="zh-CN"/>
        </w:rPr>
        <w:t>三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、合同订立</w:t>
      </w:r>
    </w:p>
    <w:p w14:paraId="050B52D5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1. 订立时间：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年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月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日。</w:t>
      </w:r>
    </w:p>
    <w:p w14:paraId="2C524430">
      <w:pPr>
        <w:adjustRightInd w:val="0"/>
        <w:snapToGrid w:val="0"/>
        <w:spacing w:line="360" w:lineRule="auto"/>
        <w:ind w:firstLine="475" w:firstLineChars="198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2. 订立地点：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                         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。</w:t>
      </w:r>
    </w:p>
    <w:p w14:paraId="245AC667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3. 本合同一式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  <w:lang w:val="en-US" w:eastAsia="zh-CN"/>
        </w:rPr>
        <w:t>陆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份，具有同等法律效力，双方各执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  <w:lang w:eastAsia="zh-CN"/>
        </w:rPr>
        <w:t>叁</w:t>
      </w:r>
      <w:r>
        <w:rPr>
          <w:rFonts w:hint="eastAsia" w:ascii="楷体" w:hAnsi="楷体" w:eastAsia="楷体" w:cs="楷体"/>
          <w:color w:val="auto"/>
          <w:szCs w:val="24"/>
          <w:highlight w:val="none"/>
          <w:u w:val="single"/>
        </w:rPr>
        <w:t xml:space="preserve"> 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>份。各方签字盖章后生效，合同执行完毕自动失效。（合同的服务承诺则长期有效）。</w:t>
      </w:r>
    </w:p>
    <w:p w14:paraId="5E2FD4DB">
      <w:pPr>
        <w:tabs>
          <w:tab w:val="left" w:pos="480"/>
        </w:tabs>
        <w:spacing w:line="360" w:lineRule="auto"/>
        <w:jc w:val="center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  <w:bookmarkStart w:id="0" w:name="_GoBack"/>
      <w:bookmarkEnd w:id="0"/>
    </w:p>
    <w:p w14:paraId="5BFE72B0">
      <w:pPr>
        <w:tabs>
          <w:tab w:val="left" w:pos="480"/>
        </w:tabs>
        <w:spacing w:line="360" w:lineRule="auto"/>
        <w:jc w:val="center"/>
        <w:rPr>
          <w:rFonts w:hint="eastAsia" w:ascii="楷体" w:hAnsi="楷体" w:eastAsia="楷体" w:cs="楷体"/>
          <w:b/>
          <w:color w:val="auto"/>
          <w:szCs w:val="24"/>
          <w:highlight w:val="none"/>
        </w:rPr>
      </w:pPr>
    </w:p>
    <w:p w14:paraId="08BE6035">
      <w:pPr>
        <w:tabs>
          <w:tab w:val="left" w:pos="480"/>
        </w:tabs>
        <w:spacing w:line="360" w:lineRule="auto"/>
        <w:jc w:val="center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甲  方（公章）</w:t>
      </w:r>
      <w:r>
        <w:rPr>
          <w:rFonts w:hint="eastAsia" w:ascii="楷体" w:hAnsi="楷体" w:eastAsia="楷体" w:cs="楷体"/>
          <w:color w:val="auto"/>
          <w:szCs w:val="24"/>
          <w:highlight w:val="none"/>
        </w:rPr>
        <w:t xml:space="preserve">                      </w:t>
      </w:r>
      <w:r>
        <w:rPr>
          <w:rFonts w:hint="eastAsia" w:ascii="楷体" w:hAnsi="楷体" w:eastAsia="楷体" w:cs="楷体"/>
          <w:b/>
          <w:color w:val="auto"/>
          <w:szCs w:val="24"/>
          <w:highlight w:val="none"/>
        </w:rPr>
        <w:t>乙  方（公章）</w:t>
      </w:r>
    </w:p>
    <w:p w14:paraId="0015A862">
      <w:pPr>
        <w:tabs>
          <w:tab w:val="left" w:pos="480"/>
        </w:tabs>
        <w:spacing w:line="360" w:lineRule="auto"/>
        <w:ind w:firstLine="1200" w:firstLineChars="5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单位名称：                          单位名称：</w:t>
      </w:r>
    </w:p>
    <w:p w14:paraId="4ED0A23C">
      <w:pPr>
        <w:tabs>
          <w:tab w:val="left" w:pos="480"/>
        </w:tabs>
        <w:spacing w:line="360" w:lineRule="auto"/>
        <w:ind w:firstLine="1200" w:firstLineChars="5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地    址：                          地    址：</w:t>
      </w:r>
    </w:p>
    <w:p w14:paraId="52715006">
      <w:pPr>
        <w:tabs>
          <w:tab w:val="left" w:pos="480"/>
        </w:tabs>
        <w:spacing w:line="360" w:lineRule="auto"/>
        <w:ind w:firstLine="1200" w:firstLineChars="5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代 理 人：                          代 理 人：</w:t>
      </w:r>
    </w:p>
    <w:p w14:paraId="2B6A2B23">
      <w:pPr>
        <w:tabs>
          <w:tab w:val="left" w:pos="480"/>
        </w:tabs>
        <w:spacing w:line="360" w:lineRule="auto"/>
        <w:ind w:firstLine="1200" w:firstLineChars="5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联系电话：                          联系电话：</w:t>
      </w:r>
    </w:p>
    <w:p w14:paraId="363EE380">
      <w:pPr>
        <w:tabs>
          <w:tab w:val="left" w:pos="480"/>
        </w:tabs>
        <w:spacing w:line="360" w:lineRule="auto"/>
        <w:ind w:firstLine="1200" w:firstLineChars="5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帐    号：</w:t>
      </w:r>
    </w:p>
    <w:p w14:paraId="77B4172E">
      <w:pPr>
        <w:tabs>
          <w:tab w:val="left" w:pos="480"/>
        </w:tabs>
        <w:spacing w:line="360" w:lineRule="auto"/>
        <w:ind w:firstLine="1200" w:firstLineChars="500"/>
        <w:rPr>
          <w:rFonts w:hint="eastAsia" w:ascii="楷体" w:hAnsi="楷体" w:eastAsia="楷体" w:cs="楷体"/>
          <w:color w:val="auto"/>
          <w:szCs w:val="24"/>
          <w:highlight w:val="none"/>
        </w:rPr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开户银行：</w:t>
      </w:r>
    </w:p>
    <w:p w14:paraId="604C11B6">
      <w:pPr>
        <w:tabs>
          <w:tab w:val="left" w:pos="480"/>
        </w:tabs>
        <w:spacing w:line="360" w:lineRule="auto"/>
        <w:ind w:firstLine="1200" w:firstLineChars="500"/>
      </w:pPr>
      <w:r>
        <w:rPr>
          <w:rFonts w:hint="eastAsia" w:ascii="楷体" w:hAnsi="楷体" w:eastAsia="楷体" w:cs="楷体"/>
          <w:color w:val="auto"/>
          <w:szCs w:val="24"/>
          <w:highlight w:val="none"/>
        </w:rPr>
        <w:t>签订日期：                         签订日期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50DDA"/>
    <w:rsid w:val="35BC4965"/>
    <w:rsid w:val="37A24019"/>
    <w:rsid w:val="48350DDA"/>
    <w:rsid w:val="5AF82C36"/>
    <w:rsid w:val="6F2A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3690</Words>
  <Characters>3779</Characters>
  <Lines>0</Lines>
  <Paragraphs>0</Paragraphs>
  <TotalTime>2</TotalTime>
  <ScaleCrop>false</ScaleCrop>
  <LinksUpToDate>false</LinksUpToDate>
  <CharactersWithSpaces>5037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2025-09-10T03:24:00Z</dcterms:created>
  <dc:creator>WPS_1617088470</dc:creator>
  <cp:lastModifiedBy>WPS_1617088470</cp:lastModifiedBy>
  <dcterms:modified xsi:type="dcterms:W3CDTF">2026-02-17T15:50:54Z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BA5F893CFF604FD4A70F57E7DDA938C0_11</vt:lpwstr>
  </property>
  <property fmtid="{D5CDD505-2E9C-101B-9397-08002B2CF9AE}" pid="4" name="KSOTemplateDocerSaveRecord">
    <vt:lpwstr>eyJoZGlkIjoiY2NhZWFjZTU0NDc3NjIxMjI4OTc3NDk1Zjg0NDE3YmMiLCJ1c2VySWQiOiIxMjAxNjE3NTYyIn0=</vt:lpwstr>
  </property>
</Properties>
</file>