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版本号：SXJXKY2026-CS-00420260211001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东郊中学后厨杂件项目采购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SXJXKY2026-CS-004</w:t>
      </w:r>
      <w:r>
        <w:br/>
      </w:r>
      <w:r>
        <w:br/>
      </w:r>
      <w:r>
        <w:br/>
      </w:r>
    </w:p>
    <w:p>
      <w:pPr>
        <w:pStyle w:val="null3"/>
        <w:jc w:val="center"/>
        <w:outlineLvl w:val="2"/>
      </w:pPr>
      <w:r>
        <w:rPr>
          <w:rFonts w:ascii="仿宋_GB2312" w:hAnsi="仿宋_GB2312" w:cs="仿宋_GB2312" w:eastAsia="仿宋_GB2312"/>
          <w:sz w:val="28"/>
          <w:b/>
        </w:rPr>
        <w:t>三原县东郊中学</w:t>
      </w:r>
    </w:p>
    <w:p>
      <w:pPr>
        <w:pStyle w:val="null3"/>
        <w:jc w:val="center"/>
        <w:outlineLvl w:val="2"/>
      </w:pPr>
      <w:r>
        <w:rPr>
          <w:rFonts w:ascii="仿宋_GB2312" w:hAnsi="仿宋_GB2312" w:cs="仿宋_GB2312" w:eastAsia="仿宋_GB2312"/>
          <w:sz w:val="28"/>
          <w:b/>
        </w:rPr>
        <w:t>陕西聚信开源咨询管理有限公司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陕西聚信开源咨询管理有限公司</w:t>
      </w:r>
      <w:r>
        <w:rPr>
          <w:rFonts w:ascii="仿宋_GB2312" w:hAnsi="仿宋_GB2312" w:cs="仿宋_GB2312" w:eastAsia="仿宋_GB2312"/>
        </w:rPr>
        <w:t>（以下简称“代理机构”）受</w:t>
      </w:r>
      <w:r>
        <w:rPr>
          <w:rFonts w:ascii="仿宋_GB2312" w:hAnsi="仿宋_GB2312" w:cs="仿宋_GB2312" w:eastAsia="仿宋_GB2312"/>
        </w:rPr>
        <w:t>三原县东郊中学</w:t>
      </w:r>
      <w:r>
        <w:rPr>
          <w:rFonts w:ascii="仿宋_GB2312" w:hAnsi="仿宋_GB2312" w:cs="仿宋_GB2312" w:eastAsia="仿宋_GB2312"/>
        </w:rPr>
        <w:t>委托，拟对</w:t>
      </w:r>
      <w:r>
        <w:rPr>
          <w:rFonts w:ascii="仿宋_GB2312" w:hAnsi="仿宋_GB2312" w:cs="仿宋_GB2312" w:eastAsia="仿宋_GB2312"/>
        </w:rPr>
        <w:t>东郊中学后厨杂件项目采购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SXJXKY2026-CS-004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东郊中学后厨杂件项目采购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采购食堂后厨各类设备、杂件、厨具等，满足食堂餐饮服务需求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2、纳税证明：提供2025年02月至今已缴纳的至少一个月的纳税证明或完税证明（任意税种），依法免税的单位应提供相关证明材料</w:t>
      </w:r>
    </w:p>
    <w:p>
      <w:pPr>
        <w:pStyle w:val="null3"/>
      </w:pPr>
      <w:r>
        <w:rPr>
          <w:rFonts w:ascii="仿宋_GB2312" w:hAnsi="仿宋_GB2312" w:cs="仿宋_GB2312" w:eastAsia="仿宋_GB2312"/>
        </w:rPr>
        <w:t>3、社保：提供2025年02月至今已缴存的至少一个月的社会保障资金缴存单据或社保机构开具的社会保险参保缴费情况证明，依法不需要缴纳社会保障资金的单位应提供相关证明材料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4、声明：提供具有履行本合同所必需的设备和专业技术能力的声明</w:t>
      </w:r>
    </w:p>
    <w:p>
      <w:pPr>
        <w:pStyle w:val="null3"/>
      </w:pPr>
      <w:r>
        <w:rPr>
          <w:rFonts w:ascii="仿宋_GB2312" w:hAnsi="仿宋_GB2312" w:cs="仿宋_GB2312" w:eastAsia="仿宋_GB2312"/>
        </w:rPr>
        <w:t>5、信用中国：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6、重大违法声明：供应商参加采购活动近3年内经营活动中没有重大违法记录声明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三原县东郊中学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咸阳市三原县东三路北段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13892003393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陕西聚信开源咨询管理有限公司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陕西省咸阳市三原县陕西省咸阳市三原县城关街道办事处冶金大道中段华阳物流公司斜对面二排36号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邬女士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13325304067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采购包1：568,600.00元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代理服务费参考《国家计委关于印发&lt;招标代理服务收费管理暂行办法&gt;的通知》（计价格[2002]1980号）和国家发展改革委员会办公厅颁发的《关于招标代理服务收费有关问题的通知》（发改办价格『2003』857号）规定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三原县东郊中学</w:t>
      </w:r>
      <w:r>
        <w:rPr>
          <w:rFonts w:ascii="仿宋_GB2312" w:hAnsi="仿宋_GB2312" w:cs="仿宋_GB2312" w:eastAsia="仿宋_GB2312"/>
        </w:rPr>
        <w:t>和</w:t>
      </w:r>
      <w:r>
        <w:rPr>
          <w:rFonts w:ascii="仿宋_GB2312" w:hAnsi="仿宋_GB2312" w:cs="仿宋_GB2312" w:eastAsia="仿宋_GB2312"/>
        </w:rPr>
        <w:t>陕西聚信开源咨询管理有限公司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三原县东郊中学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陕西聚信开源咨询管理有限公司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陕西聚信开源咨询管理有限公司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1、所有货物按采购清单全部供货到位后，供货方进行自检并形成自检报告,如出现问题限期整改。自检通过后，供货方提出验收申请，使用单位组织相关人员进行最终验收; 2、采购方接到供货方的验收通知后,采购方验收组应对所有货物逐项进行验收，其 中一项不合格不能通过验收。 3、所采购的所有货物自通过验收之日起进入质保期。</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陕西聚信开源咨询管理有限公司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陕西聚信开源咨询管理有限公司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陕西聚信开源咨询管理有限公司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联系人：邬女士</w:t>
      </w:r>
    </w:p>
    <w:p>
      <w:pPr>
        <w:pStyle w:val="null3"/>
      </w:pPr>
      <w:r>
        <w:rPr>
          <w:rFonts w:ascii="仿宋_GB2312" w:hAnsi="仿宋_GB2312" w:cs="仿宋_GB2312" w:eastAsia="仿宋_GB2312"/>
        </w:rPr>
        <w:t>联系电话：13325304067</w:t>
      </w:r>
    </w:p>
    <w:p>
      <w:pPr>
        <w:pStyle w:val="null3"/>
      </w:pPr>
      <w:r>
        <w:rPr>
          <w:rFonts w:ascii="仿宋_GB2312" w:hAnsi="仿宋_GB2312" w:cs="仿宋_GB2312" w:eastAsia="仿宋_GB2312"/>
        </w:rPr>
        <w:t>地址：陕西省咸阳市三原县城关街道办事处冶金大道中段华阳物流公司斜对面二排36号</w:t>
      </w:r>
    </w:p>
    <w:p>
      <w:pPr>
        <w:pStyle w:val="null3"/>
      </w:pPr>
      <w:r>
        <w:rPr>
          <w:rFonts w:ascii="仿宋_GB2312" w:hAnsi="仿宋_GB2312" w:cs="仿宋_GB2312" w:eastAsia="仿宋_GB2312"/>
        </w:rPr>
        <w:t>邮编：713800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采购食堂后厨各类设备、杂件、厨具等，满足食堂餐饮服务需求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568,600.00</w:t>
      </w:r>
    </w:p>
    <w:p>
      <w:pPr>
        <w:pStyle w:val="null3"/>
      </w:pPr>
      <w:r>
        <w:rPr>
          <w:rFonts w:ascii="仿宋_GB2312" w:hAnsi="仿宋_GB2312" w:cs="仿宋_GB2312" w:eastAsia="仿宋_GB2312"/>
        </w:rPr>
        <w:t>采购包最高限价（元）: 568,600.00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三原县东郊中学后厨杂件项目采购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568,600.00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标的名称：三原县东郊中学后厨杂件项目采购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462"/>
              <w:gridCol w:w="1611"/>
              <w:gridCol w:w="266"/>
              <w:gridCol w:w="211"/>
            </w:tblGrid>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产品名称</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规格及参数</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数量</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单位</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不锈钢餐盘 </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五格采用食品级304不锈钢材质，板材厚度≥1.0mm深度4cm；表面处理：内外表面经拉丝抛光处理，表面粗糙度Ra≤0.6μm，无划痕、麻点、变形、色差，光泽均匀，易清洁</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3700</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不锈钢汤勺</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长度18—22cm材质采用食品级304不锈钢，板材厚度≥1.0mm；勺身及手柄内外表面经精细拉丝抛光处理，表面粗糙度Ra≤0.5μm，无划痕、麻点、毛刺、色差，光泽均匀，易清洁且不易残留污渍。勺头边缘采用圆角打磨处理，圆角半径≥1mm，无锋利刃口，避免刮伤口腔；手柄末端做防滑或加固处理，握持舒适。</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3700</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不锈钢筷子</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304食品级不锈钢，长度18-22cm，板材厚度≥1.0mm；筷身内外经精细拉丝或镜面抛光处理，表面粗糙度Ra≤0.4μm，无划痕、麻点、毛刺、色差，光泽均匀；筷头可做防滑纹理处理，防滑纹路深度0.1-0.2mm，提升夹取稳性；</w:t>
                  </w:r>
                  <w:r>
                    <w:br/>
                  </w:r>
                  <w:r>
                    <w:rPr>
                      <w:rFonts w:ascii="仿宋_GB2312" w:hAnsi="仿宋_GB2312" w:cs="仿宋_GB2312" w:eastAsia="仿宋_GB2312"/>
                      <w:sz w:val="19"/>
                      <w:color w:val="000000"/>
                    </w:rPr>
                    <w:t xml:space="preserve"> 筷头、筷尾均做圆角打磨处理，圆角半径≥0.5mm，无锋利边缘，避免划伤口腔或餐具；加长款筷子尾部可做防滑加固处理。</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4000</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打饭瓢</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304食品级不锈钢材质，容积250-300ml；瓢身及手柄内外经精细拉丝抛光处理，表面粗糙度Ra≤0.6μm，无划痕、麻点、毛刺、色差，光泽均匀，易清洁且不易残留饭粒；瓢头边缘采用双层卷边处理，卷边厚度≥3mm，圆角过渡半径≥2mm，无锋利刃口；手柄末端做防滑加固处理，握持舒适不打滑。</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打菜勺</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304食品级不锈钢，勺子Φ10cm；勺身及手柄内外经精细拉丝抛光处理，表面粗糙度Ra≤0.6μm，无划痕、麻点、毛刺、色差，光泽均匀，易清洁且不易残留油渍菜渣。勺头边缘采用双层卷边处理，卷边厚度≥3mm，圆角过渡半径≥2mm，无锋利刃口；手柄末端做防滑加固处理，握持舒适不打滑，适合长时间操作。</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方盘保温箱-双格32L</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1.箱体材质：内外层采用EPP硬食品级材质，厚度≥3mm，抗冲击、防刮擦；无毒无味。</w:t>
                  </w:r>
                  <w:r>
                    <w:br/>
                  </w:r>
                  <w:r>
                    <w:rPr>
                      <w:rFonts w:ascii="仿宋_GB2312" w:hAnsi="仿宋_GB2312" w:cs="仿宋_GB2312" w:eastAsia="仿宋_GB2312"/>
                      <w:sz w:val="19"/>
                      <w:color w:val="000000"/>
                    </w:rPr>
                    <w:t xml:space="preserve"> 2.保温层材质：填充高密度聚氨酯发泡层，厚度≥40mm，闭孔率≥90%，保温性能稳定，无异味、不吸水。</w:t>
                  </w:r>
                  <w:r>
                    <w:br/>
                  </w:r>
                  <w:r>
                    <w:rPr>
                      <w:rFonts w:ascii="仿宋_GB2312" w:hAnsi="仿宋_GB2312" w:cs="仿宋_GB2312" w:eastAsia="仿宋_GB2312"/>
                      <w:sz w:val="19"/>
                      <w:color w:val="000000"/>
                    </w:rPr>
                    <w:t xml:space="preserve"> 3.内胆支撑层：内置食品级不锈钢分隔层，厚度≥0.8mm，可自由调节层高，适配不同厚度方盘。</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方盘保温箱-单格32L</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1.箱体材质：内外层采用EPP硬食品级材质，厚度≥3mm，抗冲击、防刮擦；无毒无味。</w:t>
                  </w:r>
                  <w:r>
                    <w:br/>
                  </w:r>
                  <w:r>
                    <w:rPr>
                      <w:rFonts w:ascii="仿宋_GB2312" w:hAnsi="仿宋_GB2312" w:cs="仿宋_GB2312" w:eastAsia="仿宋_GB2312"/>
                      <w:sz w:val="19"/>
                      <w:color w:val="000000"/>
                    </w:rPr>
                    <w:t xml:space="preserve"> 2.保温层材质：填充高密度聚氨酯发泡层，厚度≥40mm，闭孔率≥90%，保温性能稳定，无异味、不吸水。</w:t>
                  </w:r>
                  <w:r>
                    <w:br/>
                  </w:r>
                  <w:r>
                    <w:rPr>
                      <w:rFonts w:ascii="仿宋_GB2312" w:hAnsi="仿宋_GB2312" w:cs="仿宋_GB2312" w:eastAsia="仿宋_GB2312"/>
                      <w:sz w:val="19"/>
                      <w:color w:val="000000"/>
                    </w:rPr>
                    <w:t xml:space="preserve"> 3.内胆支撑层：内置食品级不锈钢分隔层，厚度≥0.8mm，可自由调节层高，适配不同厚度方盘。</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方盘保温箱-空箱50L</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1.箱体材质：内外层采用EPP硬食品级材质，厚度≥3mm，抗冲击、防刮擦；无毒无味。</w:t>
                  </w:r>
                  <w:r>
                    <w:br/>
                  </w:r>
                  <w:r>
                    <w:rPr>
                      <w:rFonts w:ascii="仿宋_GB2312" w:hAnsi="仿宋_GB2312" w:cs="仿宋_GB2312" w:eastAsia="仿宋_GB2312"/>
                      <w:sz w:val="19"/>
                      <w:color w:val="000000"/>
                    </w:rPr>
                    <w:t xml:space="preserve"> 2.保温层材质：填充高密度聚氨酯发泡层，厚度≥30mm，闭孔率≥90%，保温性能稳定，无异味、不吸水。</w:t>
                  </w:r>
                  <w:r>
                    <w:br/>
                  </w:r>
                  <w:r>
                    <w:rPr>
                      <w:rFonts w:ascii="仿宋_GB2312" w:hAnsi="仿宋_GB2312" w:cs="仿宋_GB2312" w:eastAsia="仿宋_GB2312"/>
                      <w:sz w:val="19"/>
                      <w:color w:val="000000"/>
                    </w:rPr>
                    <w:t xml:space="preserve"> 3.内胆支撑层：内置食品级不锈钢分隔层，厚度≥0.8mm，可自由调节层高，适配不同厚度方盘。</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160</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不锈钢保温桶</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容积：30L；结构：双层保温结构，内胆与外壳间采用高密度聚氨酯整体发泡，发泡密实、无空隙、不吸水、无异味，材质：内胆、外壳采用304不锈钢材质。性能：产品适用温度范围广，保温效果优良，结构稳定可靠，长期使用无变形、开裂、保温层脱落。</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不锈钢转运平板车</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尺寸：845*500*800mm（允许 ±5mm 公差）采用201不锈钢板材，厚度≥1.2mm，表面经拉丝抛光处理，粗糙度Ra≤0.8μm，无划痕、麻点、毛刺，易清洁且耐腐蚀；主支撑框架采用不小于38*38不锈钢方管，焊接处平整牢固，无虚焊、漏焊，焊口经打磨抛光处理。脚轮转动灵活，360°旋转无卡顿，空载状态下推行顺畅，使用稳定可靠。</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46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不锈钢保温桶</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容积：50L。</w:t>
                  </w:r>
                  <w:r>
                    <w:br/>
                  </w:r>
                  <w:r>
                    <w:rPr>
                      <w:rFonts w:ascii="仿宋_GB2312" w:hAnsi="仿宋_GB2312" w:cs="仿宋_GB2312" w:eastAsia="仿宋_GB2312"/>
                      <w:sz w:val="19"/>
                      <w:color w:val="000000"/>
                    </w:rPr>
                    <w:t xml:space="preserve"> 结构：双层保温结构，内胆与外壳间采用高密度聚氨酯整体发泡填充，发泡密实均匀、无空隙、不吸水，保温性能稳定，无异味。</w:t>
                  </w:r>
                  <w:r>
                    <w:br/>
                  </w:r>
                  <w:r>
                    <w:rPr>
                      <w:rFonts w:ascii="仿宋_GB2312" w:hAnsi="仿宋_GB2312" w:cs="仿宋_GB2312" w:eastAsia="仿宋_GB2312"/>
                      <w:sz w:val="19"/>
                      <w:color w:val="000000"/>
                    </w:rPr>
                    <w:t xml:space="preserve"> 材质：内胆、外壳采用 304 不锈钢 材质，耐腐蚀、易清洁，符合相关卫生安全要求。</w:t>
                  </w:r>
                  <w:r>
                    <w:br/>
                  </w:r>
                  <w:r>
                    <w:rPr>
                      <w:rFonts w:ascii="仿宋_GB2312" w:hAnsi="仿宋_GB2312" w:cs="仿宋_GB2312" w:eastAsia="仿宋_GB2312"/>
                      <w:sz w:val="19"/>
                      <w:color w:val="000000"/>
                    </w:rPr>
                    <w:t xml:space="preserve"> 性能：产品适用温度范围广，可在常规高低温环境下长期稳定使用，整体结构牢固，无变形、开裂、保温层脱落现象。</w:t>
                  </w:r>
                </w:p>
              </w:tc>
              <w:tc>
                <w:tcPr>
                  <w:tcW w:type="dxa" w:w="26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2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不锈钢盆</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参考直径Φ70cm，满足实际使用要求,主体材质采用食品级304不锈钢；内外表面经镜面抛光处理，表面粗糙度Ra≤0.8μm，无划痕、麻点、气泡、变形、色差，光泽均匀，易清洁且不易残留污渍；盆口采用双层卷边工艺，卷边厚度≥3mm，边缘光滑无毛刺，圆角过渡半径≥2mm，无割手风险；</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不锈钢盆</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参考直径Φ60cm,满足实际使用要求，主体材质采用食品级304不锈钢；内外表面经镜面抛光处理，表面粗糙度Ra≤0.8μm，无划痕、麻点、气泡、变形、色差，光泽均匀，易清洁且不易残留污渍；盆口采用双层卷边工艺，卷边厚度≥3mm，边缘光滑无毛刺，圆角过渡半径≥2mm，无割手风险；</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不锈钢盆</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参考直径Φ50cm,满足实际使用要求，主体材质采用食品级304不锈钢；内外表面经镜面抛光处理，表面粗糙度Ra≤0.8μm，无划痕、麻点、气泡、变形、色差，光泽均匀，易清洁且不易残留污渍；盆口采用双层卷边工艺，卷边厚度≥3mm，边缘光滑无毛刺，圆角过渡半径≥2mm，无割手风险；</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不锈钢盆</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参考直径Φ40cm,满足实际使用要求，主体材质采用食品级304不锈钢；内外表面经镜面抛光处理，表面粗糙度Ra≤0.8μm，无划痕、麻点、气泡、变形、色差，光泽均匀，易清洁且不易残留污渍；盆口采用双层卷边工艺，卷边厚度≥3mm，边缘光滑无毛刺，圆角过渡半径≥2mm，无割手风险；</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不锈钢盆</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参考直径Φ30cm,满足实际使用要求，主体材质采用食品级304不锈钢；内外表面经镜面抛光处理，表面粗糙度Ra≤0.8μm，无划痕、麻点、气泡、变形、色差，光泽均匀，易清洁且不易残留污渍；盆口采用双层卷边工艺，卷边厚度≥3mm，边缘光滑无毛刺，圆角过渡半径≥2mm，无割手风险；方形盆四角做圆弧处理，半径≥10mm</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不锈钢量杯</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容积1000ml，实际容积偏差≤±5%,采用食品级304不锈钢；杯身内外经精细拉丝抛光处理，表面粗糙度Ra≤0.5μm，无划痕、麻点、毛刺、色差；刻度区域经激光蚀刻工艺处理，刻度清晰耐磨，永不脱落；杯口采用卷边加固处理，卷边厚度≥2.5mm，圆角过渡半径≥1.5mm，无锋利刃口；手柄与杯身焊接处平整牢固，焊口经打磨抛光，无虚焊、漏焊。一体成型不锈钢手柄，厚度≥1.0mm，端可加装防滑PP护套，耐温范围-20℃~120℃，握持舒适不打滑。</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大勺</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采用食品级304不锈钢，板材厚度≥1.0mm勺体内外表面经精细拉丝抛光处理，表面光滑，无划痕、麻点、气泡、变形、色差，易清洁且不易残留污渍。勺口卷边加固，边缘光滑无毛刺，无割手风险。手柄材质：天然实木或食品级耐高温塑料手柄，握持舒适不打滑；连接牢固，无松动风险。</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把</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厨师刀</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 切片刀，刀刃采用食品级400系列不锈钢，锋利度持久且易打磨；刀身与刀刃同材质，耐腐蚀易清洁；刀柄采用食品级防滑材质，与刀身连接牢固，无松动风险，使用安全可靠。</w:t>
                  </w:r>
                  <w:r>
                    <w:br/>
                  </w:r>
                  <w:r>
                    <w:rPr>
                      <w:rFonts w:ascii="仿宋_GB2312" w:hAnsi="仿宋_GB2312" w:cs="仿宋_GB2312" w:eastAsia="仿宋_GB2312"/>
                    </w:rPr>
                    <w:t xml:space="preserve">  </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把</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厨师刀</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 切丝刀 / 料理刀，刀刃采用食品级400系列不锈钢，锋利度持久且易打磨；刀身与刀刃同材质，耐腐蚀易清洁；刀柄采用食品级防滑材质，与刀身连接牢固，无松动风险，使用安全可靠。</w:t>
                  </w:r>
                  <w:r>
                    <w:br/>
                  </w:r>
                  <w:r>
                    <w:rPr>
                      <w:rFonts w:ascii="仿宋_GB2312" w:hAnsi="仿宋_GB2312" w:cs="仿宋_GB2312" w:eastAsia="仿宋_GB2312"/>
                    </w:rPr>
                    <w:t xml:space="preserve">  </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把</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厨师刀</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 砍骨刀，刀刃采用食品级400系列不锈钢，锋利度持久且易打磨；刀身与刀刃同材质，耐腐蚀易清洁；刀柄采用食品级防滑材质，与刀身连接牢固，无松动风险，使用安全可靠。</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把</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不锈钢味蛊</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参考直径Φ18cm，采用食品级304不锈钢，盖子边缘配硅胶密封圈，密封圈性能良好，耐温-30℃~120℃，密封防漏。盅体内外表面经精细拉丝抛光处理，表面粗糙度Ra≤0.6μm，无划痕、麻点、毛刺、色差，易清洁且不易残留调料污渍。盅口采用双层卷边工艺，卷边厚度≥2.5mm，圆角过渡半径≥1.5mm，光滑无锋利刃口，无割手风险；</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不锈钢味蛊</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参考直径Φ16cm，采用食品级304不锈钢，盖子边缘配硅胶密封圈，密封圈性能良好，耐温-30℃~120℃，密封防漏。盅体内外表面经精细拉丝抛光处理，表面粗糙度Ra≤0.6μm，无划痕、麻点、毛刺、色差，易清洁且不易残留调料污渍。盅口采用双层卷边工艺，卷边厚度≥2.5mm，圆角过渡半径≥1.5mm，光滑无锋利刃口，无割手风险；</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调料盒</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整体采用食品级304不锈钢面板厚≥2.0mm，四格，盒盖卡扣为食品级PP材质，弹性好、不易断裂。盒体内外经精细拉丝抛光处理，表面粗糙度Ra≤0.6μm，无划痕、麻点、毛刺，易清洁且不易残留调料异味。盒口及分格边缘采用卷边打磨处理，卷边厚度≥2mm，圆角过渡半径≥1mm，无锋利刃口，避免割手。</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油蛊</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参考直径Φ32cm,采用食品级304不锈钢，面板厚度≥1.2mm，盖子边缘配硅胶密封圈，密封圈性能良好，耐温-30℃~120℃，密封防漏。盅体内外表面经精细拉丝抛光处理，表面粗糙度Ra≤0.6μm，无划痕、麻点、毛刺、色差，易清洁且不易残留调料污渍。盅口采用双层卷边工艺，卷边厚度≥2.5mm，圆角过渡半径≥1.5mm，光滑无锋利刃口，无割手风险；盅底做加厚防滑处理。</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水勺</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采用食品级 304 不锈钢，板材厚度≥2.0mm，尺寸满足日常使用；勺身及手柄抛光处理，光滑无毛刺；勺头双层卷边，边缘安全；手柄一体成型、焊接牢固，握持舒适。</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炒勺</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采用食品级 304 不锈钢，板材厚度≥2.0mm，尺寸满足使用要求；表面抛光处理，光滑无毛刺；勺头卷边安全，手柄一体焊接牢固，防滑耐用</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不锈钢炒菜大铲</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采用食品级304不锈钢，板材厚度≥2.0mm，勺头直径10cm（尺寸偏差≤±2%）。表面抛光处理，无划痕毛刺；勺头边缘卷边安全；手柄一体成型焊接牢固，使用舒适耐用。</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把</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不锈钢灶沥</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直径约Φ30cm，采用食品级304不锈钢，板材厚度≥2.0mm，表面抛光处理，边缘光滑安全；手柄一体成型、焊接牢固，满足使用需求。</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树脂菜墩</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直径500 mm（尺寸偏差≤±1%），厚度10cm（厚度偏差≤±3%），采用食品级高密度树脂材质，无毒无味，耐高低温，不易开裂变形；表面磨砂防滑，边缘圆角处理。圆形款：内置加强筋，厚度均匀，中心可预留防滑固定孔（直径10mm），适配菜墩架使用。</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树脂菜墩</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直径400 mm（尺寸偏差≤±1%）厚度5cm（厚度偏差≤±3%，整体厚度均匀度偏差≤0.5cm），采用食品级高密度树脂材质，无毒无味，耐高低温，不易开裂变形；表面磨砂防滑，边缘圆角处理。圆形款：内置加强筋，厚度均匀，中心可预留防滑固定孔（孔径 10mm，孔位偏差≤±0.5mm，孔壁光滑无毛刺），适配菜墩架使用。</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不锈钢馒头夹</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采用食品级304不锈钢，夹身整体经精细拉丝抛光处理，表面粗糙度Ra≤0.6μm，无划痕、麻点、毛刺、色差，易清洁且不易残留污渍；夹头内侧可做防滑齿纹处理，齿纹深度0.1-0.2mm，防滑不损伤馒头表皮。夹头及手柄边缘均做圆角打磨处理，圆角半径≥1mm，无锋利刃口，避免划伤手部或餐具；手柄末端可做防滑加固处理，握持舒适。内置食品级不锈钢弹簧，弹性适中，开合顺畅，经开合测试无疲劳失效、生锈现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PVC 菜筐</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产品规格：600*400（长 × 宽，尺寸偏差≤±1%），采用食品级硬质PVC树脂，纯度≥99%，添加食品级抗老化剂、增韧剂，不含再生料、重金属稳定剂。无毒无味，耐酸碱、耐腐蚀，不易脆化变形；网眼款网孔直径5-8mm，孔径均匀，边缘无毛刺，不损伤果蔬表皮；实底款底部加厚，防水防渗漏。筐体表面经光滑打磨处理，无气泡、裂纹、杂质、色差，表面粗糙度Ra≤0.8μm，易清洁，不易残留泥沙、水渍；边缘及把手处做圆角加固处理，圆角半径≥3mm，无锋利棱角。筐体两侧内置一体成型把手，厚度≥5mm，握持舒适；堆叠款筐口内置防滑凸缘，堆叠后稳固不打滑，可实现≥5层码放无塌陷、无变形。</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PVC 食品筐</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产品规格：600*400（尺寸偏差≤±1%），采用食品级硬质PVC树脂，纯度≥99%，添加食品级抗老化剂、增韧剂，不含再生料、重金属稳定剂。无毒无味，耐酸碱、耐腐蚀，不易脆化变形；网眼款网孔直径5-8mm，孔径均匀，边缘无毛刺，不损伤果蔬表皮；实底款底部加厚，防水防渗漏。筐体表面经光滑打磨处理，无气泡、裂纹、杂质、色差，表面粗糙度Ra≤0.8μm，易清洁，不易残留泥沙、水渍；边缘及把手处做圆角加固处理，圆角半径≥3mm，无锋利棱角。筐体两侧内置一体成型把手，厚度≥5mm，握持舒适；堆叠款筐口内置防滑凸缘，堆叠后稳固不打滑，可实现≥5层码放无塌陷、无变形。</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塑料垃圾分类桶</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容积240L（实测容积偏差≤±3%），桶身采用高密度聚乙烯（HDPE）原生料，不含再生料，厚度≥3.5mm，韧性强、抗冲击；接触厨余垃圾的内胆需无异味、无有毒有害物质析出。</w:t>
                  </w:r>
                  <w:r>
                    <w:br/>
                  </w:r>
                  <w:r>
                    <w:rPr>
                      <w:rFonts w:ascii="仿宋_GB2312" w:hAnsi="仿宋_GB2312" w:cs="仿宋_GB2312" w:eastAsia="仿宋_GB2312"/>
                      <w:sz w:val="19"/>
                      <w:color w:val="000000"/>
                    </w:rPr>
                    <w:t xml:space="preserve"> 采用翻盖式设计，开启角度≥90°，闭合后密封严实，防止异味扩散、蚊虫滋生。内胆选用食品级PP材质，厚度≥2.5mm，可独立可拆卸设计，便于清洗；内胆边缘卷边处理，无毛刺。</w:t>
                  </w:r>
                  <w:r>
                    <w:br/>
                  </w:r>
                  <w:r>
                    <w:rPr>
                      <w:rFonts w:ascii="仿宋_GB2312" w:hAnsi="仿宋_GB2312" w:cs="仿宋_GB2312" w:eastAsia="仿宋_GB2312"/>
                      <w:sz w:val="19"/>
                      <w:color w:val="000000"/>
                    </w:rPr>
                    <w:t xml:space="preserve"> 脚踏款脚踏板采用加厚PP材质，承重≥80kg；连接件为不锈钢材质，防锈耐用；轮子（大型款）采用聚氨酯（PU）万向轮，直径≥80mm，带刹车功能。桶身表面光滑无毛刺、气泡、裂纹，颜色均匀无色差，易清洁；边缘做圆角加固处理，圆角半径≥5mm，防止磕碰受伤。</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双桶脚踏垃圾桶</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容积不小于40L，桶身采用高密度聚乙烯（HDPE）原生料，不含再生料，厚度≥3.5mm，韧性强、抗冲击；接触厨余垃圾的内胆需无有毒有害物质析出、无异味。开启角度≥90°，闭合后密封严实，防止异味扩散、蚊虫滋生。内胆选用食品级PP材质，厚度≥2.5mm，独立可拆卸设计，便于清洗；内胆边缘卷边处理，无毛刺。</w:t>
                  </w:r>
                  <w:r>
                    <w:br/>
                  </w:r>
                  <w:r>
                    <w:rPr>
                      <w:rFonts w:ascii="仿宋_GB2312" w:hAnsi="仿宋_GB2312" w:cs="仿宋_GB2312" w:eastAsia="仿宋_GB2312"/>
                      <w:sz w:val="19"/>
                      <w:color w:val="000000"/>
                    </w:rPr>
                    <w:t xml:space="preserve"> 脚踏款脚踏板采用加厚PP材质，承重≥80kg；连接件为不锈钢材质，防锈耐用；</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不锈钢留样盒</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规格：100*100（尺寸偏差≤±1%）,采用食品级304不锈钢面板厚≥2.0mm，盒盖边缘加装食品级硅胶密封圈，密封圈性能良好防串味，锁扣牢固耐用；内外抛光处理，光滑易清洁，边缘无锋利刃口。</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厨师服，帽子 围裙</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采用涤棉混纺面料（棉65%±3%+涤纶35%±3%），克重 220-240g/㎡，透气吸汗，耐磨不起球，耐洗次数≥50次不变形、不褪色。</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笼布</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规格：40*60cm（尺寸偏差 ±2%），采用食品级硅胶（纯度≥99%），不含双酚A（BPA）、邻苯二甲酸酯等有害物质，产品无毒无味，耐高温、耐低温，质地均匀，无气泡、无裂纹、无杂质，表面光滑易清洁。</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片</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不锈钢锅盖</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采用食品级304不锈钢，厚度≥1.0mm，表面拉丝抛光处理，粗糙度Ra≤0.8μm，无毛刺、划痕，耐腐蚀易清洁。</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不锈钢剪刀</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采用高硬度食品接触用不锈钢材质，硬度HRC54-58，抗冲击、耐磨损，剪骨刃口经淬火强化处理。一体锻打成型，无焊接断层，表面经拉丝抛光处理，粗糙度Ra≤0.8μm，无划痕、毛刺，耐腐蚀易清洁。</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把</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磨刀棒</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采用高碳钢，硬度HRC 58-62，表面经高频淬火处理，耐磨性能优异；表面喷砂/拉丝处理，粗糙度Ra≤0.5μm，无毛刺、划痕，手柄食品级PP+TPR双色注塑手柄，耐温-20℃~120℃，握持处防滑纹路设计，防滑摩擦力≥0.7，防止湿手滑落；手柄末端加装防撞橡胶垫，缓冲防滑。</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温度计</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采用食品级304不锈钢，探针直径≥3mm，表面拉丝抛光处理，粗糙度Ra≤0.8μm，无毛刺、划痕，耐腐蚀、易清洁，外壳采用加厚不锈钢材质，指针为高韧性铝合金，刻度盘为钢化玻璃面板，防刮花、耐冲击。手柄防滑隔热设计，电子款采用PP+TPR双色注塑手柄，握持处防滑纹路清晰，耐温≥100℃；机械款手柄加装木质隔热套，防烫手，握持舒适。</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白色收纳箱</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规格尺寸≥长450*宽350*高250（尺寸偏差≤±1%），侧壁厚度≥3.0mm，箱体采用食品级高密度聚乙烯（HDPE）原生料，不含再生料、荧光增白剂及重金属稳定剂，韧性强，抗冲击不易脆裂。</w:t>
                  </w:r>
                  <w:r>
                    <w:br/>
                  </w:r>
                  <w:r>
                    <w:rPr>
                      <w:rFonts w:ascii="仿宋_GB2312" w:hAnsi="仿宋_GB2312" w:cs="仿宋_GB2312" w:eastAsia="仿宋_GB2312"/>
                      <w:sz w:val="19"/>
                      <w:color w:val="000000"/>
                    </w:rPr>
                    <w:t xml:space="preserve"> 箱体两侧一体成型注塑把手，厚度≥5mm，握持处防滑纹路设计，承重≥50kg不变形；特大号款可增设加固金属把手，箱体两侧一体成型注塑把手，厚度≥5mm，握持处防滑纹路设计，承重≥50kg不变形；特大号款可增设加固金属把手</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蓝色周转箱</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容积≥28L（偏差≤±3%），箱体采用食品级高密度聚乙烯（HDPE）原生料，不含再生料、荧光增白剂及重金属稳定剂；韧性强，抗冲击不易脆裂。</w:t>
                  </w:r>
                  <w:r>
                    <w:br/>
                  </w:r>
                  <w:r>
                    <w:rPr>
                      <w:rFonts w:ascii="仿宋_GB2312" w:hAnsi="仿宋_GB2312" w:cs="仿宋_GB2312" w:eastAsia="仿宋_GB2312"/>
                      <w:sz w:val="19"/>
                      <w:color w:val="000000"/>
                    </w:rPr>
                    <w:t xml:space="preserve"> 箱体两侧一体成型注塑把手，厚度≥5mm，握持处防滑纹路设计，承重≥50kg不变形；特大号款可增设加固金属把手，箱体两侧一体成型注塑把手，厚度≥5mm，握持处防滑纹路设计，承重≥50kg不变形；特大号款可增设加固金属把手</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保鲜盒</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采用食品级304不锈钢，壁厚≥0.6mm，表面经镜面抛光处理，粗糙度Ra≤0.4μm，无划痕、麻点、毛刺，耐腐蚀易清洁，盒盖内侧加装食品级硅胶密封圈，耐温-30℃~130℃，弹性好、不易老化，密封严实防漏、防串味；密封圈可拆卸清洗，无卫生死角。</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防鼠板</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参考规格：1800*600mm（尺寸偏差≤±1%），采用201不锈钢板，厚度≥1mm 表面经拉丝抛光处理，粗糙度Ra≤0.8μm，无划痕、毛刺、变形，耐腐蚀易清洁，适配厨房潮湿环境。卡槽壁厚≥2.0mm，底部焊接防滑脚垫（橡胶材质），防止滑动移位；框架款边框厚度≥2.5mm，加固面板结构，防止变形。</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防鼠板</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参考规格：1200*600mm（尺寸偏差≤±1%），采用201不锈钢板厚度≥1mm 表面经拉丝抛光处理，粗糙度Ra≤0.8μm，无划痕、毛刺、变形，耐腐蚀易清洁，适配厨房潮湿环境。卡槽壁厚≥2.0mm，底部焊接防滑脚垫（橡胶材质），防止滑动移位；框架款边框厚度≥2.5mm，加固面板结构，防止变形。</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擀面杖</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采用食品接触用合格木质材料，规格长度≥1000mm，材质坚固耐用，表面无起毛、开裂；浸泡在水中24h后（常温清水浸泡），无明显膨胀、变形、发霉现象。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擀面杖</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采用食品接触用合格木质材料，规格长度≥600mm，材质坚固耐用，表面无起毛、开裂；浸泡在水中24h后（常温清水浸泡），无明显膨胀、变形、发霉现象。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不锈钢份数盘</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1-整体采用食品级304不锈钢，表面经拉丝抛光处理，粗糙度Ra≤0.8μm，无划痕、麻点、毛刺，耐腐蚀易清洁，盆口采用双层卷边加固设计，卷边宽度≥8mm，厚度≥盆体壁厚的2倍，无锋利刃口，防止手部划伤；盆底平整，放置稳固不打滑。</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不锈钢份数盘</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2-整体采用食品级304不锈钢，表面经拉丝抛光处理，粗糙度Ra≤0.8μm，无划痕、麻点、毛刺，耐腐蚀易清洁，盆口采用双层卷边加固设计，卷边宽度≥8mm，厚度≥盆体壁厚的2倍，无锋利刃口，防止手部划伤；盆底平整，放置稳固不打滑。</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灭火器</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规格：4kg（灭火剂充装量偏差≤±5%），手提式/推车式：采用优质碳钢，壁厚≥1.2mm，表面经喷塑处理，防锈耐腐蚀；水压试验压力≥2.5MPa，爆破压力≥5.0MPa。 喷管/喷嘴：干粉型配备耐磨橡胶喷管，长度≥400mm；水基型配备雾化喷嘴，喷射均匀，降温阻燃效果好；推车式配备≥2m长喷射软管，带喷枪控制开关。</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灭火器</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规格：35kg（灭火剂充装量偏差≤±5%），手提式/推车式：采用优质碳钢，壁厚≥1.2mm，表面经喷塑处理，防锈耐腐蚀；水压试验压力≥2.5MPa，爆破压力≥5.0MPa。 喷管/喷嘴：干粉型配备耐磨橡胶喷管，长度≥400mm；水基型配备雾化喷嘴，喷射均匀，降温阻燃效果好；推车式配备≥2m长喷射软管，带喷枪控制开关。</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不锈钢保温碗</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304食品级不锈钢，容积330--350ml；表面粗糙度Ra≤0.6μm，无划痕、麻点、毛刺、色差，光泽均匀，易清洁且不易残留饭粒</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3700</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电动平板车</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适用场景送货载货，具备电池过充保护、具备封闭车厢结构，车厢尺寸：长度≥1800mm，宽度≥1200mm。电机额定功率不低于1500W,电池容量不低于49Ah。</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辆</w:t>
                  </w:r>
                </w:p>
              </w:tc>
            </w:tr>
            <w:tr>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调料箱</w:t>
                  </w:r>
                </w:p>
              </w:tc>
              <w:tc>
                <w:tcPr>
                  <w:tcW w:type="dxa" w:w="16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中号箱体采用食品级高密度聚乙烯（HDPE）原生料，不含再生料、荧光增白剂及重金属稳定剂；韧性强，抗冲击不易脆裂。</w:t>
                  </w:r>
                  <w:r>
                    <w:br/>
                  </w:r>
                  <w:r>
                    <w:rPr>
                      <w:rFonts w:ascii="仿宋_GB2312" w:hAnsi="仿宋_GB2312" w:cs="仿宋_GB2312" w:eastAsia="仿宋_GB2312"/>
                      <w:sz w:val="19"/>
                      <w:color w:val="000000"/>
                    </w:rPr>
                    <w:t xml:space="preserve"> 箱体两侧一体成型注塑把手，厚度≥5mm，握持处防滑纹路设计，承重≥50kg不变形；特大号款可增设加固金属把手，箱体两侧一体成型注塑把手，厚度≥5mm，握持处防滑纹路设计，承重≥50kg不变形；特大号款可增设加固金属把手，连接牢固、使用可靠。</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2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single"/>
                <w:left w:val="single"/>
                <w:bottom w:val="single"/>
                <w:right w:val="single"/>
                <w:insideH w:val="single"/>
                <w:insideV w:val="single"/>
              </w:tblBorders>
            </w:tblPr>
            <w:tblGrid>
              <w:gridCol w:w="775"/>
              <w:gridCol w:w="395"/>
              <w:gridCol w:w="961"/>
              <w:gridCol w:w="213"/>
              <w:gridCol w:w="205"/>
            </w:tblGrid>
            <w:tr>
              <w:tc>
                <w:tcPr>
                  <w:tcW w:type="dxa" w:w="7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产品名称</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规格</w:t>
                  </w:r>
                </w:p>
              </w:tc>
              <w:tc>
                <w:tcPr>
                  <w:tcW w:type="dxa" w:w="9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技术要求</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数量</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单位</w:t>
                  </w:r>
                </w:p>
              </w:tc>
            </w:tr>
            <w:tr>
              <w:tc>
                <w:tcPr>
                  <w:tcW w:type="dxa" w:w="7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84消毒液（支持食品接触）</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5L/桶</w:t>
                  </w:r>
                </w:p>
              </w:tc>
              <w:tc>
                <w:tcPr>
                  <w:tcW w:type="dxa" w:w="9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有效成分：次氯酸钠（4%-6%）</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桶</w:t>
                  </w:r>
                </w:p>
              </w:tc>
            </w:tr>
            <w:tr>
              <w:tc>
                <w:tcPr>
                  <w:tcW w:type="dxa" w:w="7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75%医用酒精喷雾</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500ml/瓶</w:t>
                  </w:r>
                </w:p>
              </w:tc>
              <w:tc>
                <w:tcPr>
                  <w:tcW w:type="dxa" w:w="9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有效成分：乙醇含量 75%±5%</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瓶</w:t>
                  </w:r>
                </w:p>
              </w:tc>
            </w:tr>
            <w:tr>
              <w:tc>
                <w:tcPr>
                  <w:tcW w:type="dxa" w:w="7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二氧化氯消毒泡腾片</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200片/瓶（1g/片）</w:t>
                  </w:r>
                </w:p>
              </w:tc>
              <w:tc>
                <w:tcPr>
                  <w:tcW w:type="dxa" w:w="9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有效成分：二氧化氯（8%-10%）</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瓶</w:t>
                  </w:r>
                </w:p>
              </w:tc>
            </w:tr>
            <w:tr>
              <w:tc>
                <w:tcPr>
                  <w:tcW w:type="dxa" w:w="7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过氧乙酸消毒液</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1L/瓶</w:t>
                  </w:r>
                </w:p>
              </w:tc>
              <w:tc>
                <w:tcPr>
                  <w:tcW w:type="dxa" w:w="9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有效成分：过氧乙酸（0.5%±0.1%）</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47</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瓶</w:t>
                  </w:r>
                </w:p>
              </w:tc>
            </w:tr>
            <w:tr>
              <w:tc>
                <w:tcPr>
                  <w:tcW w:type="dxa" w:w="7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重油污乳化清洁剂</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5L/桶</w:t>
                  </w:r>
                </w:p>
              </w:tc>
              <w:tc>
                <w:tcPr>
                  <w:tcW w:type="dxa" w:w="9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 技术类型：碱性乳化技术</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桶</w:t>
                  </w:r>
                </w:p>
              </w:tc>
            </w:tr>
            <w:tr>
              <w:tc>
                <w:tcPr>
                  <w:tcW w:type="dxa" w:w="7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食品级不锈钢清洁剂</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500ml/喷壶</w:t>
                  </w:r>
                </w:p>
              </w:tc>
              <w:tc>
                <w:tcPr>
                  <w:tcW w:type="dxa" w:w="9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食品接触可用，适用于不锈钢表面清洁除垢，安全无腐蚀。</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7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管道生物酶疏通剂</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1kg/袋</w:t>
                  </w:r>
                </w:p>
              </w:tc>
              <w:tc>
                <w:tcPr>
                  <w:tcW w:type="dxa" w:w="9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 核心成分：复合生物酶</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袋</w:t>
                  </w:r>
                </w:p>
              </w:tc>
            </w:tr>
            <w:tr>
              <w:tc>
                <w:tcPr>
                  <w:tcW w:type="dxa" w:w="7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防霉硅胶缝隙清洁刷（清洗台面、锅）不带钢丝</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3支/套</w:t>
                  </w:r>
                </w:p>
              </w:tc>
              <w:tc>
                <w:tcPr>
                  <w:tcW w:type="dxa" w:w="9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刷头材质：纳米硅胶</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7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超细纤维清洁布（ 分类抹布）</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每箱500个</w:t>
                  </w:r>
                </w:p>
              </w:tc>
              <w:tc>
                <w:tcPr>
                  <w:tcW w:type="dxa" w:w="9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成分：80%涤纶+20%锦纶</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箱</w:t>
                  </w:r>
                </w:p>
              </w:tc>
            </w:tr>
            <w:tr>
              <w:tc>
                <w:tcPr>
                  <w:tcW w:type="dxa" w:w="7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长柄地刷（厨房地面污垢清理）</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1套</w:t>
                  </w:r>
                </w:p>
              </w:tc>
              <w:tc>
                <w:tcPr>
                  <w:tcW w:type="dxa" w:w="9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 刷杆+刷头材质：PP塑料+尼龙刷毛</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7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拖把及挤水器套装</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9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拖头材质：超细纤维，挤水器：分割网络榨水篮，多网格设计采用加厚工程塑料，质感光滑耐摔耐刮不变形</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7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口罩（蓝色）</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1000个</w:t>
                  </w:r>
                </w:p>
              </w:tc>
              <w:tc>
                <w:tcPr>
                  <w:tcW w:type="dxa" w:w="9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一次性医用口罩</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1000</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7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头套（一次性）</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1000个</w:t>
                  </w:r>
                </w:p>
              </w:tc>
              <w:tc>
                <w:tcPr>
                  <w:tcW w:type="dxa" w:w="9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防尘透气蓝色</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1000</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7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鞋套</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1000个</w:t>
                  </w:r>
                </w:p>
              </w:tc>
              <w:tc>
                <w:tcPr>
                  <w:tcW w:type="dxa" w:w="9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无纺布防水尘加厚蓝色</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1000</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7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防飞溅唾液口罩</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1500个</w:t>
                  </w:r>
                </w:p>
              </w:tc>
              <w:tc>
                <w:tcPr>
                  <w:tcW w:type="dxa" w:w="9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透明防飞溅口罩，食品加工专用，塑料材质，防口水、防飞沫</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1500</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7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雨鞋</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白色雨鞋食品厂防滑防水</w:t>
                  </w:r>
                </w:p>
              </w:tc>
              <w:tc>
                <w:tcPr>
                  <w:tcW w:type="dxa" w:w="9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白色雨鞋食品厂防滑防水食品卫生靴，食品级EVA，无异味，雨靴厨房耐油耐酸碱高筒靴</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w:t>
                  </w:r>
                </w:p>
              </w:tc>
            </w:tr>
            <w:tr>
              <w:tc>
                <w:tcPr>
                  <w:tcW w:type="dxa" w:w="7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自动感应手消毒器</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壁挂式</w:t>
                  </w:r>
                </w:p>
              </w:tc>
              <w:tc>
                <w:tcPr>
                  <w:tcW w:type="dxa" w:w="9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感应响应时间：≤0.3秒感应出液</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7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清洁工具收纳柜</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不锈钢</w:t>
                  </w:r>
                </w:p>
              </w:tc>
              <w:tc>
                <w:tcPr>
                  <w:tcW w:type="dxa" w:w="9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参考尺寸：180*120*42cm（偏差≤±1cm）</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7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资料柜</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铁艺（厚）</w:t>
                  </w:r>
                </w:p>
              </w:tc>
              <w:tc>
                <w:tcPr>
                  <w:tcW w:type="dxa" w:w="9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参考尺寸：高≥1800mm、宽≥850mm、深≥390mm（允许 ±5% 偏差）</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7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防盗资料柜</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铁艺（厚）</w:t>
                  </w:r>
                </w:p>
              </w:tc>
              <w:tc>
                <w:tcPr>
                  <w:tcW w:type="dxa" w:w="9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参考尺寸：高≥1800mm、宽≥850mm、深≥390mm（允许 ±5% 偏差）</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7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办公桌</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办公桌简约现代员工位职员桌椅组合</w:t>
                  </w:r>
                </w:p>
              </w:tc>
              <w:tc>
                <w:tcPr>
                  <w:tcW w:type="dxa" w:w="9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 桌面尺寸≥1400mm×700mm允许 ±5% 偏差）</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15日历天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三原县东郊中学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项目按照计划工期完成后，达到相关规定及验收标准，经甲方组织验收满足项目要求达到合格质量</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乙方应按照国家有关法律法规规定以及招标文件要求和投标文件的“服务承诺”提供服务。质保期自采购人在货物质量验收单(终验)上签名之日起计算，质保期不少于1年。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按《中华人民共和国民法典》、《中华人民共和国政府采购法》的相关条款和本合同约定执行。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分项报价.docx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 分项报价.docx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分项报价.docx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提供2025年02月至今已缴纳的至少一个月的纳税证明或完税证明（任意税种），依法免税的单位应提供相关证明材料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w:t>
            </w:r>
          </w:p>
        </w:tc>
        <w:tc>
          <w:tcPr>
            <w:tcW w:type="dxa" w:w="3322"/>
          </w:tcPr>
          <w:p>
            <w:pPr>
              <w:pStyle w:val="null3"/>
            </w:pPr>
            <w:r>
              <w:rPr>
                <w:rFonts w:ascii="仿宋_GB2312" w:hAnsi="仿宋_GB2312" w:cs="仿宋_GB2312" w:eastAsia="仿宋_GB2312"/>
              </w:rPr>
              <w:t>提供2025年02月至今已缴存的至少一个月的社会保障资金缴存单据或社保机构开具的社会保险参保缴费情况证明，依法不需要缴纳社会保障资金的单位应提供相关证明材料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重大违法声明</w:t>
            </w:r>
          </w:p>
        </w:tc>
        <w:tc>
          <w:tcPr>
            <w:tcW w:type="dxa" w:w="3322"/>
          </w:tcPr>
          <w:p>
            <w:pPr>
              <w:pStyle w:val="null3"/>
            </w:pPr>
            <w:r>
              <w:rPr>
                <w:rFonts w:ascii="仿宋_GB2312" w:hAnsi="仿宋_GB2312" w:cs="仿宋_GB2312" w:eastAsia="仿宋_GB2312"/>
              </w:rPr>
              <w:t>供应商参加采购活动近3年内经营活动中没有重大违法记录声明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供应商应提交的相关资格证明材料 报价表 分项报价.docx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投标人名称应与有效存续的企业营业执照/事业单位法人证书/专业服务机构执业许可证/民办非企业单位登记证书一致</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报价唯一，且没有超过采购预算(最高限价）</w:t>
            </w:r>
          </w:p>
        </w:tc>
        <w:tc>
          <w:tcPr>
            <w:tcW w:type="dxa" w:w="1661"/>
          </w:tcPr>
          <w:p>
            <w:pPr>
              <w:pStyle w:val="null3"/>
            </w:pPr>
            <w:r>
              <w:rPr>
                <w:rFonts w:ascii="仿宋_GB2312" w:hAnsi="仿宋_GB2312" w:cs="仿宋_GB2312" w:eastAsia="仿宋_GB2312"/>
              </w:rPr>
              <w:t>产品技术参数表 标的清单 报价表 分项报价.docx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招标有效期是否满足招标最低要求90天的</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响应文件的签署、加盖印章合格有效；提供的各种证明文件、数据、资料真实有效</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所投产品技术参数清楚、明确并能逐条响应并满足招标文件内容及要求中所有参数要求，得30分。其中:所列参数需提供佐证材料，未提供或提供内容不正确，按负偏离对待，每负偏离一项扣0.5分。此项总分30分，扣完为止。 备注：技术参数佐证材料例如：第三方检测报告或厂家检测报告或产品说明书或产品彩页或官网介绍截图等内容，并加盖供应商公章，予以证明其技术参数的响应性。</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针对本项目的质量保障措施包含不限于：①质量保障措施及方案；②质量管理体系；③质量保证承诺；供货期间协调采购人办理接货、分发工作，提供回访服务，解决用户提出的各项问题。④质量安全可靠等内容）方案内容详细完整、针对性强、可行性高，符合项目实际 要求。每项满分2分，缺项不得分,每项内容存在缺陷，扣（0-1.5）分。缺陷是指内容不合理、虽有内容但不完善、内容表述前后不一致、套用其他项目方案或与项目需求不匹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投标人提供针对本项目的实施方案，包含：①项目实施规划②各节点进度安排（不限于采购环节、运输环节、交付环节等）③安装调试方案④整体组织协调方案等四项内容进行综合评审。各部分内容全面详细、阐述条理清晰详尽、符合本项目采购需求得10分；以上四项内容每缺少一项扣2.5分；有某一项不完整或不符合实际要求或不满足实施要求或套用其他项目内容的每项扣（0-2）分；扣完为止。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人员保障</w:t>
            </w:r>
          </w:p>
        </w:tc>
        <w:tc>
          <w:tcPr>
            <w:tcW w:type="dxa" w:w="2492"/>
          </w:tcPr>
          <w:p>
            <w:pPr>
              <w:pStyle w:val="null3"/>
            </w:pPr>
            <w:r>
              <w:rPr>
                <w:rFonts w:ascii="仿宋_GB2312" w:hAnsi="仿宋_GB2312" w:cs="仿宋_GB2312" w:eastAsia="仿宋_GB2312"/>
              </w:rPr>
              <w:t>根据本项目的人员配备情况，包含：①人员岗位职责划分明确②管理及岗位制度③匹配项目需求情况等三项内容进行综合评审。人员配备满足且人员保障措施详细、职责划分清晰、拟投入的人员能够满足供货要求及项目需求每项得6分；以上三项内容每缺少一项扣2分；有某一项不完整或不符合实际要求或不满足实施要求或套用其他项目内容的每项扣（0-1.5）分，扣完为止。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①售后服务承诺②售后服务体系③故障响应时间及方式④售后人员具体信息（姓名、联系方式、岗位等）及人员保证性、维修更换保障到位等内容进行评审。各部分内容全面详细、阐述条理清晰详尽、符合本项目采购需求得8分；以上四项内容每缺少一项扣2分；有某一项不完整或不符合实际要求或不满足实施要求或套用其他项目内容的每项扣（0-1.5）分，扣完为止。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针对本项目提供培训方案，为采购人培训操作维护人员，以保障使用过程中能熟练操作、维护和正常使用，培训方案内容包含：①培训计划②培训时间及内容③培训方式等三项内容进行综合评审。各部分内容全面详细、阐述条理清晰详尽、符合本项目采购需求得6分，以上三项内容每缺少一项扣2分，有某一项不完整或不符合实际要求或不满足培训要求或套用其他项目内容的扣（0-1.5）分，扣完为止。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供应商提供2023年2月以来（以合同签订日期为准）类似项目业绩，每提供1份符合类似项目的业绩计1分，满分2分。 备注：业绩证明（以合同或中标通知书为准，须在投标文件中附合同或中标通知书的复印件加盖单位公章）弄虚作假者，取消其中标资格。</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 分为 30 分。其他投标人的价格分统一按照下列 公式计算： 投标报价得分=（评标基准价/投标报价） ×30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