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版本号：SDZC2026-02420260224001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三原县城区道路架空弱电光缆及电杆拆除工程服务项目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SDZC2026-024</w:t>
      </w:r>
      <w:r>
        <w:br/>
      </w:r>
      <w:r>
        <w:br/>
      </w:r>
      <w:r>
        <w:br/>
      </w:r>
    </w:p>
    <w:p>
      <w:pPr>
        <w:pStyle w:val="null3"/>
        <w:jc w:val="center"/>
        <w:outlineLvl w:val="2"/>
      </w:pPr>
      <w:r>
        <w:rPr>
          <w:rFonts w:ascii="仿宋_GB2312" w:hAnsi="仿宋_GB2312" w:cs="仿宋_GB2312" w:eastAsia="仿宋_GB2312"/>
          <w:sz w:val="28"/>
          <w:b/>
        </w:rPr>
        <w:t>三原县城乡管理执法局</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三原县城乡管理执法局</w:t>
      </w:r>
      <w:r>
        <w:rPr>
          <w:rFonts w:ascii="仿宋_GB2312" w:hAnsi="仿宋_GB2312" w:cs="仿宋_GB2312" w:eastAsia="仿宋_GB2312"/>
        </w:rPr>
        <w:t>委托，拟对</w:t>
      </w:r>
      <w:r>
        <w:rPr>
          <w:rFonts w:ascii="仿宋_GB2312" w:hAnsi="仿宋_GB2312" w:cs="仿宋_GB2312" w:eastAsia="仿宋_GB2312"/>
        </w:rPr>
        <w:t>三原县城区道路架空弱电光缆及电杆拆除工程服务项目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SDZC2026-024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三原县城区道路架空弱电光缆及电杆拆除工程服务项目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城区道路架空弱电光缆及电杆的全面拆除清理，消除安全隐患，提升城市环境品质，保障公共安全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采购包1（三原县城区道路架空弱电光缆及电杆拆除工程服务项目）：属于专门面向中小企业采购。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1、提供供应商合法注册的法人或其他组织的营业执照等证明文件或自然人的身份证明：提供供应商合法注册的法人或其他组织的营业执照等证明文件或自然人的身份证明；</w:t>
      </w:r>
    </w:p>
    <w:p>
      <w:pPr>
        <w:pStyle w:val="null3"/>
      </w:pPr>
      <w:r>
        <w:rPr>
          <w:rFonts w:ascii="仿宋_GB2312" w:hAnsi="仿宋_GB2312" w:cs="仿宋_GB2312" w:eastAsia="仿宋_GB2312"/>
        </w:rPr>
        <w:t>2、财务状况报告：财务状况报告：提供具有财务审计资质单位出具合法有效的2023年度或2024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p>
      <w:pPr>
        <w:pStyle w:val="null3"/>
      </w:pPr>
      <w:r>
        <w:rPr>
          <w:rFonts w:ascii="仿宋_GB2312" w:hAnsi="仿宋_GB2312" w:cs="仿宋_GB2312" w:eastAsia="仿宋_GB2312"/>
        </w:rPr>
        <w:t>8、企业资质：具备建设行政主管部门颁发的市政公用工程施工总承包三级（含三级）以上资质, 同时具有合格有效的安全生产许可证；</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10、控股关系查询：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三原县城乡管理执法局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咸阳市三原县人行大街中段环卫队院内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三原县城乡管理执法局经办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13892091321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西安市经开区凤城八路正尚国际金融广场A座7层703（张家堡转盘东南角）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郅龙（8号工位）、姚文霄、魏蕾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029-89293231转808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服务费收费标准参照原《国家计委关于印发&lt;招标代理服务收费管理暂行办法&gt;的通知》(计价格〔2002〕1980号)、《国家发展改革委关于降低部分建设项目收费标准规范收费行为等有关问题的通知》(发改价格〔2011〕534号)规定执行。招标代理服务费应采用转账、刷卡、现金形式缴纳。2、汇款账户：1.开户行名称：陕西上德招标有限公司 2.开 户 行：西安银行股份有限公司文景路支行 3.账 号：707011510000013522 财务部联系方式：029-86673953、029-86518381、029-89299829、029-89293231 转813 备注：投标人在汇款（招标代理服务费）时须注明项目编号+项目简称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三原县城乡管理执法局</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三原县城乡管理执法局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三原县城乡管理执法局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验收标准按照国家、行业有关规范和要求执行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联系人：郅龙（8号工位）</w:t>
      </w:r>
    </w:p>
    <w:p>
      <w:pPr>
        <w:pStyle w:val="null3"/>
      </w:pPr>
      <w:r>
        <w:rPr>
          <w:rFonts w:ascii="仿宋_GB2312" w:hAnsi="仿宋_GB2312" w:cs="仿宋_GB2312" w:eastAsia="仿宋_GB2312"/>
        </w:rPr>
        <w:t>联系电话：029-86673953、029-86518381、029-89299829、029-89293231转808</w:t>
      </w:r>
    </w:p>
    <w:p>
      <w:pPr>
        <w:pStyle w:val="null3"/>
      </w:pPr>
      <w:r>
        <w:rPr>
          <w:rFonts w:ascii="仿宋_GB2312" w:hAnsi="仿宋_GB2312" w:cs="仿宋_GB2312" w:eastAsia="仿宋_GB2312"/>
        </w:rPr>
        <w:t>地址：西安市经开区凤城八路正尚国际金融广场A座7层703（张家堡转盘东南角）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城区道路架空弱电光缆及电杆的全面拆除清理，消除安全隐患，提升城市环境品质，保障公共安全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三原县城区道路架空弱电光缆及电杆拆除工程服务项目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标的名称：三原县城区道路架空弱电光缆及电杆拆除工程服务项目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近年来，随着城市建设不断发展，城市公共空间秩序的不断提升，我县部分街道还存在通信光缆随意架设等现象，由于人员维护不及时，导致部分线缆凌乱和掉落现象时有发生，再加之部分过街线缆高度不够，存在一定安全隐患，为切实改善城区架空线缆凌乱情况，2026年12月底实施城区部分道路架空弱电光缆及电杆拆除工程，彻底改善通信光缆随意架设、杂乱无章等现象，净化城市公共空间秩序。</w:t>
            </w:r>
          </w:p>
          <w:p>
            <w:pPr>
              <w:pStyle w:val="null3"/>
              <w:jc w:val="left"/>
            </w:pPr>
            <w:r>
              <w:rPr>
                <w:rFonts w:ascii="仿宋_GB2312" w:hAnsi="仿宋_GB2312" w:cs="仿宋_GB2312" w:eastAsia="仿宋_GB2312"/>
              </w:rPr>
              <w:t>人员工资最高限价</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功能配置描述</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限价（元）</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大工</w:t>
                  </w:r>
                </w:p>
              </w:tc>
              <w:tc>
                <w:tcPr>
                  <w:tcW w:type="dxa" w:w="638"/>
                </w:tcPr>
                <w:p>
                  <w:pPr>
                    <w:pStyle w:val="null3"/>
                  </w:pPr>
                  <w:r>
                    <w:rPr>
                      <w:rFonts w:ascii="仿宋_GB2312" w:hAnsi="仿宋_GB2312" w:cs="仿宋_GB2312" w:eastAsia="仿宋_GB2312"/>
                    </w:rPr>
                    <w:t>1天</w:t>
                  </w:r>
                </w:p>
              </w:tc>
              <w:tc>
                <w:tcPr>
                  <w:tcW w:type="dxa" w:w="638"/>
                </w:tcPr>
                <w:p>
                  <w:pPr>
                    <w:pStyle w:val="null3"/>
                  </w:pPr>
                  <w:r>
                    <w:rPr>
                      <w:rFonts w:ascii="仿宋_GB2312" w:hAnsi="仿宋_GB2312" w:cs="仿宋_GB2312" w:eastAsia="仿宋_GB2312"/>
                    </w:rPr>
                    <w:t>350</w:t>
                  </w:r>
                </w:p>
              </w:tc>
              <w:tc>
                <w:tcPr>
                  <w:tcW w:type="dxa" w:w="638"/>
                </w:tcPr>
                <w:p>
                  <w:pPr>
                    <w:pStyle w:val="null3"/>
                  </w:pPr>
                  <w:r>
                    <w:rPr>
                      <w:rFonts w:ascii="仿宋_GB2312" w:hAnsi="仿宋_GB2312" w:cs="仿宋_GB2312" w:eastAsia="仿宋_GB2312"/>
                    </w:rPr>
                    <w:t>据实结算</w:t>
                  </w:r>
                </w:p>
              </w:tc>
            </w:tr>
            <w:tr>
              <w:tc>
                <w:tcPr>
                  <w:tcW w:type="dxa" w:w="638"/>
                </w:tcPr>
                <w:p>
                  <w:pPr>
                    <w:pStyle w:val="null3"/>
                  </w:pPr>
                  <w:r>
                    <w:rPr>
                      <w:rFonts w:ascii="仿宋_GB2312" w:hAnsi="仿宋_GB2312" w:cs="仿宋_GB2312" w:eastAsia="仿宋_GB2312"/>
                    </w:rPr>
                    <w:t>小工</w:t>
                  </w:r>
                </w:p>
              </w:tc>
              <w:tc>
                <w:tcPr>
                  <w:tcW w:type="dxa" w:w="638"/>
                </w:tcPr>
                <w:p>
                  <w:pPr>
                    <w:pStyle w:val="null3"/>
                  </w:pPr>
                  <w:r>
                    <w:rPr>
                      <w:rFonts w:ascii="仿宋_GB2312" w:hAnsi="仿宋_GB2312" w:cs="仿宋_GB2312" w:eastAsia="仿宋_GB2312"/>
                    </w:rPr>
                    <w:t>1天</w:t>
                  </w:r>
                </w:p>
              </w:tc>
              <w:tc>
                <w:tcPr>
                  <w:tcW w:type="dxa" w:w="638"/>
                </w:tcPr>
                <w:p>
                  <w:pPr>
                    <w:pStyle w:val="null3"/>
                  </w:pPr>
                  <w:r>
                    <w:rPr>
                      <w:rFonts w:ascii="仿宋_GB2312" w:hAnsi="仿宋_GB2312" w:cs="仿宋_GB2312" w:eastAsia="仿宋_GB2312"/>
                    </w:rPr>
                    <w:t>260</w:t>
                  </w:r>
                </w:p>
              </w:tc>
              <w:tc>
                <w:tcPr>
                  <w:tcW w:type="dxa" w:w="638"/>
                </w:tcPr>
                <w:p>
                  <w:pPr>
                    <w:pStyle w:val="null3"/>
                  </w:pPr>
                  <w:r>
                    <w:rPr>
                      <w:rFonts w:ascii="仿宋_GB2312" w:hAnsi="仿宋_GB2312" w:cs="仿宋_GB2312" w:eastAsia="仿宋_GB2312"/>
                    </w:rPr>
                    <w:t>据实结算</w:t>
                  </w:r>
                </w:p>
              </w:tc>
            </w:tr>
            <w:tr>
              <w:tc>
                <w:tcPr>
                  <w:tcW w:type="dxa" w:w="638"/>
                </w:tcPr>
                <w:p>
                  <w:pPr>
                    <w:pStyle w:val="null3"/>
                  </w:pPr>
                  <w:r>
                    <w:rPr>
                      <w:rFonts w:ascii="仿宋_GB2312" w:hAnsi="仿宋_GB2312" w:cs="仿宋_GB2312" w:eastAsia="仿宋_GB2312"/>
                    </w:rPr>
                    <w:t>电工（高空）</w:t>
                  </w:r>
                </w:p>
              </w:tc>
              <w:tc>
                <w:tcPr>
                  <w:tcW w:type="dxa" w:w="638"/>
                </w:tcPr>
                <w:p>
                  <w:pPr>
                    <w:pStyle w:val="null3"/>
                  </w:pPr>
                  <w:r>
                    <w:rPr>
                      <w:rFonts w:ascii="仿宋_GB2312" w:hAnsi="仿宋_GB2312" w:cs="仿宋_GB2312" w:eastAsia="仿宋_GB2312"/>
                    </w:rPr>
                    <w:t>1天</w:t>
                  </w:r>
                </w:p>
              </w:tc>
              <w:tc>
                <w:tcPr>
                  <w:tcW w:type="dxa" w:w="638"/>
                </w:tcPr>
                <w:p>
                  <w:pPr>
                    <w:pStyle w:val="null3"/>
                  </w:pPr>
                  <w:r>
                    <w:rPr>
                      <w:rFonts w:ascii="仿宋_GB2312" w:hAnsi="仿宋_GB2312" w:cs="仿宋_GB2312" w:eastAsia="仿宋_GB2312"/>
                    </w:rPr>
                    <w:t>400</w:t>
                  </w:r>
                </w:p>
              </w:tc>
              <w:tc>
                <w:tcPr>
                  <w:tcW w:type="dxa" w:w="638"/>
                </w:tcPr>
                <w:p>
                  <w:pPr>
                    <w:pStyle w:val="null3"/>
                  </w:pPr>
                  <w:r>
                    <w:rPr>
                      <w:rFonts w:ascii="仿宋_GB2312" w:hAnsi="仿宋_GB2312" w:cs="仿宋_GB2312" w:eastAsia="仿宋_GB2312"/>
                    </w:rPr>
                    <w:t>据实结算</w:t>
                  </w:r>
                </w:p>
              </w:tc>
            </w:tr>
            <w:tr>
              <w:tc>
                <w:tcPr>
                  <w:tcW w:type="dxa" w:w="638"/>
                </w:tcPr>
                <w:p>
                  <w:pPr>
                    <w:pStyle w:val="null3"/>
                  </w:pPr>
                  <w:r>
                    <w:rPr>
                      <w:rFonts w:ascii="仿宋_GB2312" w:hAnsi="仿宋_GB2312" w:cs="仿宋_GB2312" w:eastAsia="仿宋_GB2312"/>
                    </w:rPr>
                    <w:t>屈臂车</w:t>
                  </w:r>
                </w:p>
              </w:tc>
              <w:tc>
                <w:tcPr>
                  <w:tcW w:type="dxa" w:w="638"/>
                </w:tcPr>
                <w:p>
                  <w:pPr>
                    <w:pStyle w:val="null3"/>
                  </w:pPr>
                  <w:r>
                    <w:rPr>
                      <w:rFonts w:ascii="仿宋_GB2312" w:hAnsi="仿宋_GB2312" w:cs="仿宋_GB2312" w:eastAsia="仿宋_GB2312"/>
                    </w:rPr>
                    <w:t>1天</w:t>
                  </w:r>
                </w:p>
              </w:tc>
              <w:tc>
                <w:tcPr>
                  <w:tcW w:type="dxa" w:w="638"/>
                </w:tcPr>
                <w:p>
                  <w:pPr>
                    <w:pStyle w:val="null3"/>
                  </w:pPr>
                  <w:r>
                    <w:rPr>
                      <w:rFonts w:ascii="仿宋_GB2312" w:hAnsi="仿宋_GB2312" w:cs="仿宋_GB2312" w:eastAsia="仿宋_GB2312"/>
                    </w:rPr>
                    <w:t>1100</w:t>
                  </w:r>
                </w:p>
              </w:tc>
              <w:tc>
                <w:tcPr>
                  <w:tcW w:type="dxa" w:w="638"/>
                </w:tcPr>
                <w:p>
                  <w:pPr>
                    <w:pStyle w:val="null3"/>
                  </w:pPr>
                  <w:r>
                    <w:rPr>
                      <w:rFonts w:ascii="仿宋_GB2312" w:hAnsi="仿宋_GB2312" w:cs="仿宋_GB2312" w:eastAsia="仿宋_GB2312"/>
                    </w:rPr>
                    <w:t>据实结算</w:t>
                  </w:r>
                </w:p>
              </w:tc>
            </w:tr>
            <w:tr>
              <w:tc>
                <w:tcPr>
                  <w:tcW w:type="dxa" w:w="638"/>
                </w:tcPr>
                <w:p>
                  <w:pPr>
                    <w:pStyle w:val="null3"/>
                  </w:pPr>
                  <w:r>
                    <w:rPr>
                      <w:rFonts w:ascii="仿宋_GB2312" w:hAnsi="仿宋_GB2312" w:cs="仿宋_GB2312" w:eastAsia="仿宋_GB2312"/>
                    </w:rPr>
                    <w:t>吊车</w:t>
                  </w:r>
                </w:p>
              </w:tc>
              <w:tc>
                <w:tcPr>
                  <w:tcW w:type="dxa" w:w="638"/>
                </w:tcPr>
                <w:p>
                  <w:pPr>
                    <w:pStyle w:val="null3"/>
                  </w:pPr>
                  <w:r>
                    <w:rPr>
                      <w:rFonts w:ascii="仿宋_GB2312" w:hAnsi="仿宋_GB2312" w:cs="仿宋_GB2312" w:eastAsia="仿宋_GB2312"/>
                    </w:rPr>
                    <w:t>1天</w:t>
                  </w:r>
                </w:p>
              </w:tc>
              <w:tc>
                <w:tcPr>
                  <w:tcW w:type="dxa" w:w="638"/>
                </w:tcPr>
                <w:p>
                  <w:pPr>
                    <w:pStyle w:val="null3"/>
                  </w:pPr>
                  <w:r>
                    <w:rPr>
                      <w:rFonts w:ascii="仿宋_GB2312" w:hAnsi="仿宋_GB2312" w:cs="仿宋_GB2312" w:eastAsia="仿宋_GB2312"/>
                    </w:rPr>
                    <w:t>1000</w:t>
                  </w:r>
                </w:p>
              </w:tc>
              <w:tc>
                <w:tcPr>
                  <w:tcW w:type="dxa" w:w="638"/>
                </w:tcPr>
                <w:p>
                  <w:pPr>
                    <w:pStyle w:val="null3"/>
                  </w:pPr>
                  <w:r>
                    <w:rPr>
                      <w:rFonts w:ascii="仿宋_GB2312" w:hAnsi="仿宋_GB2312" w:cs="仿宋_GB2312" w:eastAsia="仿宋_GB2312"/>
                    </w:rPr>
                    <w:t>据实结算</w:t>
                  </w:r>
                </w:p>
              </w:tc>
            </w:tr>
            <w:tr>
              <w:tc>
                <w:tcPr>
                  <w:tcW w:type="dxa" w:w="638"/>
                </w:tcPr>
                <w:p>
                  <w:pPr>
                    <w:pStyle w:val="null3"/>
                  </w:pPr>
                  <w:r>
                    <w:rPr>
                      <w:rFonts w:ascii="仿宋_GB2312" w:hAnsi="仿宋_GB2312" w:cs="仿宋_GB2312" w:eastAsia="仿宋_GB2312"/>
                    </w:rPr>
                    <w:t>单价合计</w:t>
                  </w:r>
                </w:p>
              </w:tc>
              <w:tc>
                <w:tcPr>
                  <w:tcW w:type="dxa" w:w="638"/>
                </w:tcPr>
                <w:p>
                  <w:pPr>
                    <w:pStyle w:val="null3"/>
                  </w:pPr>
                  <w:r>
                    <w:rPr>
                      <w:rFonts w:ascii="仿宋_GB2312" w:hAnsi="仿宋_GB2312" w:cs="仿宋_GB2312" w:eastAsia="仿宋_GB2312"/>
                    </w:rPr>
                    <w:t>1天</w:t>
                  </w:r>
                </w:p>
              </w:tc>
              <w:tc>
                <w:tcPr>
                  <w:tcW w:type="dxa" w:w="638"/>
                </w:tcPr>
                <w:p>
                  <w:pPr>
                    <w:pStyle w:val="null3"/>
                  </w:pPr>
                  <w:r>
                    <w:rPr>
                      <w:rFonts w:ascii="仿宋_GB2312" w:hAnsi="仿宋_GB2312" w:cs="仿宋_GB2312" w:eastAsia="仿宋_GB2312"/>
                    </w:rPr>
                    <w:t>3110</w:t>
                  </w:r>
                </w:p>
              </w:tc>
              <w:tc>
                <w:tcPr>
                  <w:tcW w:type="dxa" w:w="638"/>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注：单项报价不得高于单项最高限价</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三原县街道</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达到要求并符合相关规范，验收标准满足项目要求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每月服务结束，经采购人验收合格后，服务单位向采购人提供与本月结算服务费用等额的增值税发票，采购人据实结算。服务全部完成后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技术要求，采购人有权终止合同，并对供方违约行为进行追究，同时按《中华人民共和国政府采购法》的有关规定进行处罚。3、在执行本合同中发生的或与本合同有关的争端，双方应通过友好协商解决，经协商在15天内不能达成协议时，应提交三原县仲裁委员会仲裁。 4、仲裁裁决应为最终决定，并对双方具有约束力。 5、除另有裁决外，仲裁费应由败诉方负担。 6、在仲裁期间，除正在进行仲裁部分外，合同其他部分继续执行。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人在领取成交通知书时提供一正两副纸质竞争性磋商响应文件。装订：纸质竞争性磋商响应文件采用书籍（胶装）方式装订成册，与电子版文件一致的签字、盖章的完整版本。2.磋商报价要求：首次、二次磋商报价（总价）均填写预算200万元；首次、二次磋商报价（单价）均按照响应文件格式《单价合计报价一览表》填写，单项报价不得高于单项最高限价，二次报价时须将《单价合计报价一览表》作为附件上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供应商需在项目电子化交易系统中按要求上传相应证明文件并进行电子签章。本项审查内容与特殊资格要求的“财务状况报告”审查为同一项内容。</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供应商资格要求.docx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2023年度或2024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具备建设行政主管部门颁发的市政公用工程施工总承包三级（含三级）以上资质, 同时具有合格有效的安全生产许可证；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 标的清单（此项单价及总价按预算200万填写）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编制格式</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供应商类似项目业绩.docx 项目团队成员配备.docx 单价合计报价一览表.docx 授权委托书.docx 服务承诺.docx 承诺书.docx 确保工期的技术组织措施.docx 施工过程中主要机具、设备配备情况.docx 供应商资格要求.docx 拆除总体方案.docx 监狱企业的证明文件 技术、服务、商务及其他要求响应偏离表.docx 确保安全生产的技术组织措施.docx 中小企业声明函 标的清单（此项单价及总价按预算200万填写） 响应文件封面 确保工程质量的技术组织措施.docx 重难点分析及合理化建议.docx 残疾人福利性单位声明函 拒绝政府采购领域商业贿赂承诺书.docx 供应商参与政府采购活动的承诺函.docx 应急措施.docx 供应商认为有必要说明的事宜.docx 响应函 确保文明施工的技术组织措施及环境保护措施.docx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供应商类似项目业绩.docx 项目团队成员配备.docx 单价合计报价一览表.docx 授权委托书.docx 服务承诺.docx 承诺书.docx 确保工期的技术组织措施.docx 施工过程中主要机具、设备配备情况.docx 供应商资格要求.docx 拆除总体方案.docx 监狱企业的证明文件 技术、服务、商务及其他要求响应偏离表.docx 确保安全生产的技术组织措施.docx 中小企业声明函 标的清单（此项单价及总价按预算200万填写） 响应文件封面 确保工程质量的技术组织措施.docx 重难点分析及合理化建议.docx 残疾人福利性单位声明函 拒绝政府采购领域商业贿赂承诺书.docx 供应商参与政府采购活动的承诺函.docx 应急措施.docx 供应商认为有必要说明的事宜.docx 响应函 确保文明施工的技术组织措施及环境保护措施.docx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单项报价不得高于单项最高限价</w:t>
            </w:r>
          </w:p>
        </w:tc>
        <w:tc>
          <w:tcPr>
            <w:tcW w:type="dxa" w:w="3322"/>
          </w:tcPr>
          <w:p>
            <w:pPr>
              <w:pStyle w:val="null3"/>
            </w:pPr>
            <w:r>
              <w:rPr>
                <w:rFonts w:ascii="仿宋_GB2312" w:hAnsi="仿宋_GB2312" w:cs="仿宋_GB2312" w:eastAsia="仿宋_GB2312"/>
              </w:rPr>
              <w:t>单项报价不得高于单项最高限价</w:t>
            </w:r>
          </w:p>
        </w:tc>
        <w:tc>
          <w:tcPr>
            <w:tcW w:type="dxa" w:w="1661"/>
          </w:tcPr>
          <w:p>
            <w:pPr>
              <w:pStyle w:val="null3"/>
            </w:pPr>
            <w:r>
              <w:rPr>
                <w:rFonts w:ascii="仿宋_GB2312" w:hAnsi="仿宋_GB2312" w:cs="仿宋_GB2312" w:eastAsia="仿宋_GB2312"/>
              </w:rPr>
              <w:t>单价合计报价一览表.docx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磋商报价总价是否为预算价</w:t>
            </w:r>
          </w:p>
        </w:tc>
        <w:tc>
          <w:tcPr>
            <w:tcW w:type="dxa" w:w="3322"/>
          </w:tcPr>
          <w:p>
            <w:pPr>
              <w:pStyle w:val="null3"/>
            </w:pPr>
            <w:r>
              <w:rPr>
                <w:rFonts w:ascii="仿宋_GB2312" w:hAnsi="仿宋_GB2312" w:cs="仿宋_GB2312" w:eastAsia="仿宋_GB2312"/>
              </w:rPr>
              <w:t>磋商报价总价是否为预算价</w:t>
            </w:r>
          </w:p>
        </w:tc>
        <w:tc>
          <w:tcPr>
            <w:tcW w:type="dxa" w:w="1661"/>
          </w:tcPr>
          <w:p>
            <w:pPr>
              <w:pStyle w:val="null3"/>
            </w:pPr>
            <w:r>
              <w:rPr>
                <w:rFonts w:ascii="仿宋_GB2312" w:hAnsi="仿宋_GB2312" w:cs="仿宋_GB2312" w:eastAsia="仿宋_GB2312"/>
              </w:rPr>
              <w:t>标的清单（此项单价及总价按预算200万填写）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对磋商文件商务要求是否作出明确且实质性响应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对磋商文件技术、服务要求是否作出明确响应，对不得偏离的要求是否作出实质性响应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供应商类似项目业绩.docx 项目团队成员配备.docx 单价合计报价一览表.docx 授权委托书.docx 服务承诺.docx 承诺书.docx 确保工期的技术组织措施.docx 施工过程中主要机具、设备配备情况.docx 供应商资格要求.docx 拆除总体方案.docx 监狱企业的证明文件 技术、服务、商务及其他要求响应偏离表.docx 确保安全生产的技术组织措施.docx 中小企业声明函 标的清单（此项单价及总价按预算200万填写） 响应文件封面 确保工程质量的技术组织措施.docx 重难点分析及合理化建议.docx 残疾人福利性单位声明函 拒绝政府采购领域商业贿赂承诺书.docx 供应商参与政府采购活动的承诺函.docx 应急措施.docx 供应商认为有必要说明的事宜.docx 响应函 确保文明施工的技术组织措施及环境保护措施.docx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未含法律、法规和磋商文件规定的其他无效响应情形</w:t>
            </w:r>
          </w:p>
        </w:tc>
        <w:tc>
          <w:tcPr>
            <w:tcW w:type="dxa" w:w="1661"/>
          </w:tcPr>
          <w:p>
            <w:pPr>
              <w:pStyle w:val="null3"/>
            </w:pPr>
            <w:r>
              <w:rPr>
                <w:rFonts w:ascii="仿宋_GB2312" w:hAnsi="仿宋_GB2312" w:cs="仿宋_GB2312" w:eastAsia="仿宋_GB2312"/>
              </w:rPr>
              <w:t>供应商类似项目业绩.docx 项目团队成员配备.docx 单价合计报价一览表.docx 授权委托书.docx 服务承诺.docx 承诺书.docx 确保工期的技术组织措施.docx 施工过程中主要机具、设备配备情况.docx 供应商资格要求.docx 拆除总体方案.docx 监狱企业的证明文件 技术、服务、商务及其他要求响应偏离表.docx 确保安全生产的技术组织措施.docx 中小企业声明函 标的清单（此项单价及总价按预算200万填写） 响应文件封面 确保工程质量的技术组织措施.docx 重难点分析及合理化建议.docx 残疾人福利性单位声明函 拒绝政府采购领域商业贿赂承诺书.docx 供应商参与政府采购活动的承诺函.docx 应急措施.docx 供应商认为有必要说明的事宜.docx 响应函 确保文明施工的技术组织措施及环境保护措施.docx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拆除总体方案</w:t>
            </w:r>
          </w:p>
        </w:tc>
        <w:tc>
          <w:tcPr>
            <w:tcW w:type="dxa" w:w="2492"/>
          </w:tcPr>
          <w:p>
            <w:pPr>
              <w:pStyle w:val="null3"/>
            </w:pPr>
            <w:r>
              <w:rPr>
                <w:rFonts w:ascii="仿宋_GB2312" w:hAnsi="仿宋_GB2312" w:cs="仿宋_GB2312" w:eastAsia="仿宋_GB2312"/>
              </w:rPr>
              <w:t>一、评审内容 供应商针对本项目编制完善的拆除方案，内容包含但不限于：①具体拆除内容，②拆除次序，③拆除方法，④地面恢复等。 二、评审标准 1、内容全面详细，且条理清晰、准确、措施合理具体； 2、内容能够紧扣项目实际情况，内容清晰、合理。 三、赋分标准（满分10分） ①内容完整且完全满足上述评审标准的，得10分； ②内容完整，但条理不清晰、措施不具体且无紧扣项目实际情况的实质性内容，计6分； ③内容缺1-2项的，计3分； ④内容缺3项的计1分； ⑤未提供相关内容的不计分。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拆除总体方案.docx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供应商针对本项目编制完善的工程质量技术组织措施，内容包含但不限于：①质量目标管理体系，②施工质量的检验制度，③确保质量的技术组织措施。 二、评审标准 1、内容全面详细，且条理清晰、准确、措施合理具体； 2、内容能够紧扣项目实际情况，内容清晰、合理。 三、赋分标准（满分6分） ①内容完整且完全满足上述评审标准的，计6分； ②内容完整，但条理不清晰、措施不具体、无紧扣项目实际情况实质性内容的，计3分； ③内容缺2项及以下的，计1分； ④内容缺3项及以上的不计分。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确保工程质量的技术组织措施.docx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 供应商针对本项目编制完善的文明施工及环境保护措施，内容包含但不限于：①安全文明施工目标及施工现场的临时管理措施，②文明施工保障措施，③环境保护管理体系，④环保控制措施：污染物及废弃物处理的排放、噪音控制、防尘及扬尘的控制措施。 二、评审标准 1、内容全面详细，且条理清晰、准确、措施合理具体； 2、内容能够紧扣项目实际情况，内容清晰、合理。 三、赋分标准（满分6分） ①内容完整且完全满足上述评审标准的，计6分； ②内容完整，但条理不清晰、措施不具体、无紧扣项目实际情况实质性内容的，计3分； ③内容缺2项及以下的，计1分； ④内容缺3项及以上的不计分。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供应商针对本项目编制完善的安全生产的技术组织措施，内容包含但不限于：①安全管理体系，②安全责任归属划分，③安全标识：安全警戒标语、施工人员安全警示服和安全帽穿配要求，④安全教育培训。 二、评审标准 1、内容全面详细，且条理清晰、准确、措施合理具体； 2、内容能够紧扣项目实际情况，内容清晰、合理。 三、赋分标准（满分6分） ①内容完整且完全满足上述评审标准的，计6分； ②内容完整，但条理不清晰、措施不具体、无紧扣项目实际情况实质性内容的，计3分； ③内容缺2项及以下的，计1分； ④内容缺3项及以上的不计分。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确保安全生产的技术组织措施.docx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供应商针对本项目编制完善的工期的技术组织措施，内容包含但不限于：①施工组织与工期保证措施，②特殊情况保证：夜间、雨季、高温等情况。 二、评审标准 1、内容全面详细，且条理清晰、准确、措施合理具体； 2、内容能够紧扣项目实际情况，内容清晰、合理。 三、赋分标准（满分6分） ①内容完整且完全满足上述评审标准的，得6分； ②内容完整，但条理不清晰、措施不具体且无紧扣项目实际情况的实质性内容，计3分； ③内容缺1项的，计1分； ④未提供相关内容的不计分。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确保工期的技术组织措施.docx</w:t>
            </w:r>
          </w:p>
        </w:tc>
      </w:tr>
      <w:tr>
        <w:tc>
          <w:tcPr>
            <w:tcW w:type="dxa" w:w="831"/>
            <w:vMerge/>
          </w:tcPr>
          <w:p/>
        </w:tc>
        <w:tc>
          <w:tcPr>
            <w:tcW w:type="dxa" w:w="1661"/>
          </w:tcPr>
          <w:p>
            <w:pPr>
              <w:pStyle w:val="null3"/>
            </w:pPr>
            <w:r>
              <w:rPr>
                <w:rFonts w:ascii="仿宋_GB2312" w:hAnsi="仿宋_GB2312" w:cs="仿宋_GB2312" w:eastAsia="仿宋_GB2312"/>
              </w:rPr>
              <w:t>施工过程中主要机具、设备配备情况</w:t>
            </w:r>
          </w:p>
        </w:tc>
        <w:tc>
          <w:tcPr>
            <w:tcW w:type="dxa" w:w="2492"/>
          </w:tcPr>
          <w:p>
            <w:pPr>
              <w:pStyle w:val="null3"/>
            </w:pPr>
            <w:r>
              <w:rPr>
                <w:rFonts w:ascii="仿宋_GB2312" w:hAnsi="仿宋_GB2312" w:cs="仿宋_GB2312" w:eastAsia="仿宋_GB2312"/>
              </w:rPr>
              <w:t>①主要机具、设备配备齐全、合理，充分满足施工需求，有证明材料计6分； ②主要机具、设备投入数量充足，但证明材料缺失，计4分； ③主要机具、设备投入不足、无证明材料，计2分； ④未提供本项内容的不计分。 证明材料注明： 1.自有机械提供机械的购买发票； 2.租赁机械须提供租赁合同。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施工过程中主要机具、设备配备情况.docx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对突发事件的应急措施和解决方案。①应急保障措施合法合规、全面、有效、合理，可实施性强，得5分； ②应急保障措施有效、合理，有可实施性，应急措施有欠缺的得3（含）分； ③应急保障措施简单不规范的得1分；④未提供不计分。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应急措施.docx</w:t>
            </w:r>
          </w:p>
        </w:tc>
      </w:tr>
      <w:tr>
        <w:tc>
          <w:tcPr>
            <w:tcW w:type="dxa" w:w="831"/>
            <w:vMerge/>
          </w:tcPr>
          <w:p/>
        </w:tc>
        <w:tc>
          <w:tcPr>
            <w:tcW w:type="dxa" w:w="1661"/>
          </w:tcPr>
          <w:p>
            <w:pPr>
              <w:pStyle w:val="null3"/>
            </w:pPr>
            <w:r>
              <w:rPr>
                <w:rFonts w:ascii="仿宋_GB2312" w:hAnsi="仿宋_GB2312" w:cs="仿宋_GB2312" w:eastAsia="仿宋_GB2312"/>
              </w:rPr>
              <w:t>项目团队成员配备</w:t>
            </w:r>
          </w:p>
        </w:tc>
        <w:tc>
          <w:tcPr>
            <w:tcW w:type="dxa" w:w="2492"/>
          </w:tcPr>
          <w:p>
            <w:pPr>
              <w:pStyle w:val="null3"/>
            </w:pPr>
            <w:r>
              <w:rPr>
                <w:rFonts w:ascii="仿宋_GB2312" w:hAnsi="仿宋_GB2312" w:cs="仿宋_GB2312" w:eastAsia="仿宋_GB2312"/>
              </w:rPr>
              <w:t>针对本项目有专业服务团队，各岗位职责分工明确、搭配合理，团队成员具有岗位对应的专业资质和工作经验，就项目成员的专业资质、文化水平、就职经历、劳动合同等做出详细说明并提供证明材料； ①人员分工明确、搭配合理，资质优越，相关证明文件齐全计6分； ②服务人员分工合理，资质符合项目要求，证明文件有欠缺的计4分； ③人员分工不清晰、搭配不合理，相关证明文件有半数以上缺失的计2分；④未提供不计分。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项目团队成员配备.docx</w:t>
            </w:r>
          </w:p>
        </w:tc>
      </w:tr>
      <w:tr>
        <w:tc>
          <w:tcPr>
            <w:tcW w:type="dxa" w:w="831"/>
            <w:vMerge/>
          </w:tcPr>
          <w:p/>
        </w:tc>
        <w:tc>
          <w:tcPr>
            <w:tcW w:type="dxa" w:w="1661"/>
          </w:tcPr>
          <w:p>
            <w:pPr>
              <w:pStyle w:val="null3"/>
            </w:pPr>
            <w:r>
              <w:rPr>
                <w:rFonts w:ascii="仿宋_GB2312" w:hAnsi="仿宋_GB2312" w:cs="仿宋_GB2312" w:eastAsia="仿宋_GB2312"/>
              </w:rPr>
              <w:t>重难点分析及合理化建议</w:t>
            </w:r>
          </w:p>
        </w:tc>
        <w:tc>
          <w:tcPr>
            <w:tcW w:type="dxa" w:w="2492"/>
          </w:tcPr>
          <w:p>
            <w:pPr>
              <w:pStyle w:val="null3"/>
            </w:pPr>
            <w:r>
              <w:rPr>
                <w:rFonts w:ascii="仿宋_GB2312" w:hAnsi="仿宋_GB2312" w:cs="仿宋_GB2312" w:eastAsia="仿宋_GB2312"/>
              </w:rPr>
              <w:t>针对本项目的难点和重点进行分析，并提出详细的应对措施及解决方案，对本项目所要求的编制内容提出合理化建议。 ①难点和重点分析全面、科学合理，内容详细并切合实际，应对措施及解决方案切实可行且有针对性，建议合理全面的计5分； ②内容有1到2项欠缺、薄弱的计3分； ③内容有2项以上欠缺的计1分；④未提供的不计分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重难点分析及合理化建议.docx</w:t>
            </w:r>
          </w:p>
        </w:tc>
      </w:tr>
      <w:tr>
        <w:tc>
          <w:tcPr>
            <w:tcW w:type="dxa" w:w="831"/>
            <w:vMerge/>
          </w:tcPr>
          <w:p/>
        </w:tc>
        <w:tc>
          <w:tcPr>
            <w:tcW w:type="dxa" w:w="1661"/>
          </w:tcPr>
          <w:p>
            <w:pPr>
              <w:pStyle w:val="null3"/>
            </w:pPr>
            <w:r>
              <w:rPr>
                <w:rFonts w:ascii="仿宋_GB2312" w:hAnsi="仿宋_GB2312" w:cs="仿宋_GB2312" w:eastAsia="仿宋_GB2312"/>
              </w:rPr>
              <w:t>供应商类似项目业绩</w:t>
            </w:r>
          </w:p>
        </w:tc>
        <w:tc>
          <w:tcPr>
            <w:tcW w:type="dxa" w:w="2492"/>
          </w:tcPr>
          <w:p>
            <w:pPr>
              <w:pStyle w:val="null3"/>
            </w:pPr>
            <w:r>
              <w:rPr>
                <w:rFonts w:ascii="仿宋_GB2312" w:hAnsi="仿宋_GB2312" w:cs="仿宋_GB2312" w:eastAsia="仿宋_GB2312"/>
              </w:rPr>
              <w:t>以合同形式提供供应商2023年01月至今类似项目业绩，每份计2分，计满8分为止。（以合同签订时间为准，附合同复印件）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供应商针对本项目编制完善的服务承诺，内容包含但不限于：①对招标文件和合同条款的响应承诺，②针对本项目实际需求提供实质性服务承诺及保障措施，③针对本项目的施工验收后期的质保承诺。 二、评审标准 1、内容全面详细，且条理清晰、准确、措施合理具体； 2、内容能够紧扣项目实际情况，内容清晰、合理。 三、赋分标准（满分6分） ①内容完整且完全满足上述评审标准的，得6分； ②内容完整，但条理不清晰、内容不具体且无紧扣项目实际情况的实质性内容，计3分； ③内容缺2项及以下的，计1分； ④未提供相关内容的不计分。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满足磋商文件要求且最终磋商单价合计最低的供应商的价格为磋商基准价，其价格分为满分。其他供应商的价格分统一按照下列公式计算：磋商报价得分=（磋商基准价/磋商报价）×价格权值×100。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标的清单（此项单价及总价按预算200万填写）</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详见附件：标的清单（此项单价及总价按预算200万填写）</w:t>
      </w:r>
    </w:p>
    <w:p>
      <w:pPr>
        <w:pStyle w:val="null3"/>
        <w:ind w:firstLine="960"/>
      </w:pPr>
      <w:r>
        <w:rPr>
          <w:rFonts w:ascii="仿宋_GB2312" w:hAnsi="仿宋_GB2312" w:cs="仿宋_GB2312" w:eastAsia="仿宋_GB2312"/>
        </w:rPr>
        <w:t>详见附件：单价合计报价一览表.docx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详见附件：拆除总体方案.docx</w:t>
      </w:r>
    </w:p>
    <w:p>
      <w:pPr>
        <w:pStyle w:val="null3"/>
        <w:ind w:firstLine="960"/>
      </w:pPr>
      <w:r>
        <w:rPr>
          <w:rFonts w:ascii="仿宋_GB2312" w:hAnsi="仿宋_GB2312" w:cs="仿宋_GB2312" w:eastAsia="仿宋_GB2312"/>
        </w:rPr>
        <w:t>详见附件：确保工程质量的技术组织措施.docx</w:t>
      </w:r>
    </w:p>
    <w:p>
      <w:pPr>
        <w:pStyle w:val="null3"/>
        <w:ind w:firstLine="960"/>
      </w:pPr>
      <w:r>
        <w:rPr>
          <w:rFonts w:ascii="仿宋_GB2312" w:hAnsi="仿宋_GB2312" w:cs="仿宋_GB2312" w:eastAsia="仿宋_GB2312"/>
        </w:rPr>
        <w:t>详见附件：确保文明施工的技术组织措施及环境保护措施.docx</w:t>
      </w:r>
    </w:p>
    <w:p>
      <w:pPr>
        <w:pStyle w:val="null3"/>
        <w:ind w:firstLine="960"/>
      </w:pPr>
      <w:r>
        <w:rPr>
          <w:rFonts w:ascii="仿宋_GB2312" w:hAnsi="仿宋_GB2312" w:cs="仿宋_GB2312" w:eastAsia="仿宋_GB2312"/>
        </w:rPr>
        <w:t>详见附件：确保安全生产的技术组织措施.docx</w:t>
      </w:r>
    </w:p>
    <w:p>
      <w:pPr>
        <w:pStyle w:val="null3"/>
        <w:ind w:firstLine="960"/>
      </w:pPr>
      <w:r>
        <w:rPr>
          <w:rFonts w:ascii="仿宋_GB2312" w:hAnsi="仿宋_GB2312" w:cs="仿宋_GB2312" w:eastAsia="仿宋_GB2312"/>
        </w:rPr>
        <w:t>详见附件：确保工期的技术组织措施.docx</w:t>
      </w:r>
    </w:p>
    <w:p>
      <w:pPr>
        <w:pStyle w:val="null3"/>
        <w:ind w:firstLine="960"/>
      </w:pPr>
      <w:r>
        <w:rPr>
          <w:rFonts w:ascii="仿宋_GB2312" w:hAnsi="仿宋_GB2312" w:cs="仿宋_GB2312" w:eastAsia="仿宋_GB2312"/>
        </w:rPr>
        <w:t>详见附件：施工过程中主要机具、设备配备情况.docx</w:t>
      </w:r>
    </w:p>
    <w:p>
      <w:pPr>
        <w:pStyle w:val="null3"/>
        <w:ind w:firstLine="960"/>
      </w:pPr>
      <w:r>
        <w:rPr>
          <w:rFonts w:ascii="仿宋_GB2312" w:hAnsi="仿宋_GB2312" w:cs="仿宋_GB2312" w:eastAsia="仿宋_GB2312"/>
        </w:rPr>
        <w:t>详见附件：应急措施.docx</w:t>
      </w:r>
    </w:p>
    <w:p>
      <w:pPr>
        <w:pStyle w:val="null3"/>
        <w:ind w:firstLine="960"/>
      </w:pPr>
      <w:r>
        <w:rPr>
          <w:rFonts w:ascii="仿宋_GB2312" w:hAnsi="仿宋_GB2312" w:cs="仿宋_GB2312" w:eastAsia="仿宋_GB2312"/>
        </w:rPr>
        <w:t>详见附件：项目团队成员配备.docx</w:t>
      </w:r>
    </w:p>
    <w:p>
      <w:pPr>
        <w:pStyle w:val="null3"/>
        <w:ind w:firstLine="960"/>
      </w:pPr>
      <w:r>
        <w:rPr>
          <w:rFonts w:ascii="仿宋_GB2312" w:hAnsi="仿宋_GB2312" w:cs="仿宋_GB2312" w:eastAsia="仿宋_GB2312"/>
        </w:rPr>
        <w:t>详见附件：重难点分析及合理化建议.docx</w:t>
      </w:r>
    </w:p>
    <w:p>
      <w:pPr>
        <w:pStyle w:val="null3"/>
        <w:ind w:firstLine="960"/>
      </w:pPr>
      <w:r>
        <w:rPr>
          <w:rFonts w:ascii="仿宋_GB2312" w:hAnsi="仿宋_GB2312" w:cs="仿宋_GB2312" w:eastAsia="仿宋_GB2312"/>
        </w:rPr>
        <w:t>详见附件：供应商类似项目业绩.docx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详见附件：供应商认为有必要说明的事宜.docx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