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A578D">
      <w:pPr>
        <w:keepNext w:val="0"/>
        <w:keepLines w:val="0"/>
        <w:pageBreakBefore w:val="0"/>
        <w:widowControl w:val="0"/>
        <w:kinsoku/>
        <w:wordWrap/>
        <w:overflowPunct/>
        <w:topLinePunct w:val="0"/>
        <w:autoSpaceDE/>
        <w:autoSpaceDN/>
        <w:bidi w:val="0"/>
        <w:adjustRightInd w:val="0"/>
        <w:snapToGrid w:val="0"/>
        <w:spacing w:line="660" w:lineRule="exact"/>
        <w:jc w:val="both"/>
        <w:textAlignment w:val="auto"/>
        <w:rPr>
          <w:rFonts w:hint="default" w:ascii="方正小标宋简体" w:hAnsi="方正小标宋简体" w:eastAsia="方正小标宋简体" w:cs="方正小标宋简体"/>
          <w:color w:val="auto"/>
          <w:sz w:val="22"/>
          <w:szCs w:val="22"/>
          <w:lang w:val="en-US" w:eastAsia="zh-CN"/>
        </w:rPr>
      </w:pPr>
      <w:r>
        <w:rPr>
          <w:rFonts w:hint="eastAsia" w:ascii="方正小标宋简体" w:hAnsi="方正小标宋简体" w:eastAsia="方正小标宋简体" w:cs="方正小标宋简体"/>
          <w:color w:val="auto"/>
          <w:sz w:val="22"/>
          <w:szCs w:val="22"/>
          <w:lang w:val="en-US" w:eastAsia="zh-CN"/>
        </w:rPr>
        <w:t>（1包合同模板）</w:t>
      </w:r>
    </w:p>
    <w:p w14:paraId="39213EE0">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715F4ABD">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32"/>
          <w:szCs w:val="32"/>
          <w:lang w:eastAsia="zh-CN"/>
        </w:rPr>
      </w:pPr>
      <w:r>
        <w:rPr>
          <w:rFonts w:hint="eastAsia" w:ascii="方正小标宋简体" w:hAnsi="方正小标宋简体" w:eastAsia="方正小标宋简体" w:cs="方正小标宋简体"/>
          <w:color w:val="auto"/>
          <w:sz w:val="44"/>
          <w:szCs w:val="44"/>
          <w:lang w:eastAsia="zh-CN"/>
        </w:rPr>
        <w:t>三原县2026年校园餐及农村义务教育学生营养改善计划政府采购</w:t>
      </w:r>
      <w:r>
        <w:rPr>
          <w:rFonts w:hint="eastAsia" w:ascii="方正小标宋简体" w:hAnsi="方正小标宋简体" w:eastAsia="方正小标宋简体" w:cs="方正小标宋简体"/>
          <w:color w:val="auto"/>
          <w:sz w:val="44"/>
          <w:szCs w:val="44"/>
        </w:rPr>
        <w:t>合同</w:t>
      </w:r>
    </w:p>
    <w:p w14:paraId="000BE2DD">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30"/>
          <w:szCs w:val="30"/>
          <w:lang w:eastAsia="zh-CN"/>
        </w:rPr>
      </w:pPr>
      <w:r>
        <w:rPr>
          <w:rFonts w:hint="eastAsia" w:ascii="方正小标宋简体" w:hAnsi="方正小标宋简体" w:eastAsia="方正小标宋简体" w:cs="方正小标宋简体"/>
          <w:color w:val="auto"/>
          <w:sz w:val="30"/>
          <w:szCs w:val="30"/>
          <w:lang w:eastAsia="zh-CN"/>
        </w:rPr>
        <w:t>（</w:t>
      </w:r>
      <w:r>
        <w:rPr>
          <w:rFonts w:hint="eastAsia" w:ascii="方正小标宋简体" w:hAnsi="方正小标宋简体" w:eastAsia="方正小标宋简体" w:cs="方正小标宋简体"/>
          <w:color w:val="auto"/>
          <w:sz w:val="30"/>
          <w:szCs w:val="30"/>
        </w:rPr>
        <w:t>项目编号：</w:t>
      </w:r>
      <w:r>
        <w:rPr>
          <w:rFonts w:hint="eastAsia" w:ascii="方正小标宋简体" w:hAnsi="方正小标宋简体" w:eastAsia="方正小标宋简体" w:cs="方正小标宋简体"/>
          <w:color w:val="auto"/>
          <w:sz w:val="30"/>
          <w:szCs w:val="30"/>
          <w:lang w:val="en-US" w:eastAsia="zh-CN"/>
        </w:rPr>
        <w:t xml:space="preserve">         </w:t>
      </w:r>
      <w:r>
        <w:rPr>
          <w:rFonts w:hint="eastAsia" w:ascii="方正小标宋简体" w:hAnsi="方正小标宋简体" w:eastAsia="方正小标宋简体" w:cs="方正小标宋简体"/>
          <w:color w:val="auto"/>
          <w:sz w:val="30"/>
          <w:szCs w:val="30"/>
          <w:lang w:eastAsia="zh-CN"/>
        </w:rPr>
        <w:t>）</w:t>
      </w:r>
    </w:p>
    <w:p w14:paraId="5AF5E26B">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5B13F544">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539DCCF7">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2A52D255">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3B99406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48658713">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78EBE63C">
      <w:pPr>
        <w:pStyle w:val="2"/>
        <w:rPr>
          <w:rFonts w:hint="eastAsia" w:ascii="方正小标宋简体" w:hAnsi="方正小标宋简体" w:eastAsia="方正小标宋简体" w:cs="方正小标宋简体"/>
          <w:color w:val="auto"/>
          <w:sz w:val="44"/>
          <w:szCs w:val="44"/>
        </w:rPr>
      </w:pPr>
    </w:p>
    <w:p w14:paraId="5FFCD986">
      <w:pPr>
        <w:rPr>
          <w:rFonts w:hint="eastAsia"/>
          <w:color w:val="auto"/>
        </w:rPr>
      </w:pPr>
    </w:p>
    <w:p w14:paraId="36FFF2A4">
      <w:pPr>
        <w:rPr>
          <w:rFonts w:hint="eastAsia"/>
          <w:color w:val="auto"/>
        </w:rPr>
      </w:pPr>
    </w:p>
    <w:p w14:paraId="388E5DB9">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1507882D">
      <w:pPr>
        <w:rPr>
          <w:rFonts w:hint="eastAsia"/>
          <w:color w:val="auto"/>
        </w:rPr>
      </w:pPr>
    </w:p>
    <w:p w14:paraId="4801B90F">
      <w:pPr>
        <w:keepNext w:val="0"/>
        <w:keepLines w:val="0"/>
        <w:pageBreakBefore w:val="0"/>
        <w:widowControl w:val="0"/>
        <w:kinsoku/>
        <w:wordWrap/>
        <w:overflowPunct/>
        <w:topLinePunct w:val="0"/>
        <w:autoSpaceDE/>
        <w:autoSpaceDN/>
        <w:bidi w:val="0"/>
        <w:adjustRightInd w:val="0"/>
        <w:snapToGrid w:val="0"/>
        <w:spacing w:line="640" w:lineRule="exact"/>
        <w:ind w:firstLine="1807" w:firstLineChars="600"/>
        <w:jc w:val="both"/>
        <w:textAlignment w:val="auto"/>
        <w:rPr>
          <w:rFonts w:hint="eastAsia" w:ascii="仿宋" w:hAnsi="仿宋" w:eastAsia="仿宋" w:cs="等线"/>
          <w:b/>
          <w:bCs/>
          <w:color w:val="auto"/>
          <w:sz w:val="30"/>
          <w:szCs w:val="30"/>
          <w:lang w:val="en-US" w:eastAsia="zh-CN"/>
        </w:rPr>
      </w:pPr>
      <w:r>
        <w:rPr>
          <w:rFonts w:hint="eastAsia" w:ascii="仿宋_GB2312" w:hAnsi="仿宋_GB2312" w:eastAsia="仿宋_GB2312" w:cs="仿宋_GB2312"/>
          <w:b/>
          <w:bCs/>
          <w:color w:val="auto"/>
          <w:sz w:val="30"/>
          <w:szCs w:val="30"/>
          <w:u w:val="none"/>
          <w:lang w:val="en-US" w:eastAsia="zh-CN"/>
        </w:rPr>
        <w:t>甲方：</w:t>
      </w:r>
      <w:r>
        <w:rPr>
          <w:rFonts w:hint="eastAsia" w:ascii="仿宋" w:hAnsi="仿宋" w:eastAsia="仿宋" w:cs="等线"/>
          <w:b/>
          <w:bCs/>
          <w:color w:val="auto"/>
          <w:sz w:val="30"/>
          <w:szCs w:val="30"/>
          <w:u w:val="single"/>
          <w:lang w:val="en-US" w:eastAsia="zh-CN"/>
        </w:rPr>
        <w:t xml:space="preserve">        </w:t>
      </w:r>
      <w:r>
        <w:rPr>
          <w:rFonts w:hint="eastAsia" w:ascii="仿宋_GB2312" w:hAnsi="仿宋_GB2312" w:eastAsia="仿宋_GB2312" w:cs="仿宋_GB2312"/>
          <w:b/>
          <w:bCs/>
          <w:color w:val="auto"/>
          <w:sz w:val="30"/>
          <w:szCs w:val="30"/>
          <w:u w:val="single"/>
          <w:lang w:val="en-US" w:eastAsia="zh-CN"/>
        </w:rPr>
        <w:t>三原县教育局</w:t>
      </w:r>
      <w:r>
        <w:rPr>
          <w:rFonts w:hint="eastAsia" w:ascii="仿宋" w:hAnsi="仿宋" w:eastAsia="仿宋" w:cs="等线"/>
          <w:b/>
          <w:bCs/>
          <w:color w:val="auto"/>
          <w:sz w:val="30"/>
          <w:szCs w:val="30"/>
          <w:u w:val="single"/>
          <w:lang w:val="en-US" w:eastAsia="zh-CN"/>
        </w:rPr>
        <w:t xml:space="preserve">        </w:t>
      </w:r>
      <w:r>
        <w:rPr>
          <w:rFonts w:hint="eastAsia" w:ascii="仿宋" w:hAnsi="仿宋" w:eastAsia="仿宋" w:cs="等线"/>
          <w:b/>
          <w:bCs/>
          <w:color w:val="auto"/>
          <w:sz w:val="30"/>
          <w:szCs w:val="30"/>
          <w:lang w:val="en-US" w:eastAsia="zh-CN"/>
        </w:rPr>
        <w:t xml:space="preserve">    </w:t>
      </w:r>
    </w:p>
    <w:p w14:paraId="4526925F">
      <w:pPr>
        <w:keepNext w:val="0"/>
        <w:keepLines w:val="0"/>
        <w:pageBreakBefore w:val="0"/>
        <w:widowControl w:val="0"/>
        <w:kinsoku/>
        <w:wordWrap/>
        <w:overflowPunct/>
        <w:topLinePunct w:val="0"/>
        <w:autoSpaceDE/>
        <w:autoSpaceDN/>
        <w:bidi w:val="0"/>
        <w:adjustRightInd w:val="0"/>
        <w:snapToGrid w:val="0"/>
        <w:spacing w:line="640" w:lineRule="exact"/>
        <w:ind w:firstLine="1807" w:firstLineChars="600"/>
        <w:jc w:val="both"/>
        <w:textAlignment w:val="auto"/>
        <w:rPr>
          <w:rFonts w:hint="eastAsia" w:ascii="仿宋" w:hAnsi="仿宋" w:eastAsia="仿宋" w:cs="等线"/>
          <w:b/>
          <w:bCs/>
          <w:color w:val="auto"/>
          <w:sz w:val="30"/>
          <w:szCs w:val="30"/>
          <w:u w:val="single"/>
          <w:lang w:val="en-US" w:eastAsia="zh-CN"/>
        </w:rPr>
      </w:pPr>
      <w:r>
        <w:rPr>
          <w:rFonts w:hint="eastAsia" w:ascii="仿宋_GB2312" w:hAnsi="仿宋_GB2312" w:eastAsia="仿宋_GB2312" w:cs="仿宋_GB2312"/>
          <w:b/>
          <w:bCs/>
          <w:color w:val="auto"/>
          <w:sz w:val="30"/>
          <w:szCs w:val="30"/>
          <w:u w:val="none"/>
          <w:lang w:val="en-US" w:eastAsia="zh-CN"/>
        </w:rPr>
        <w:t>乙方：</w:t>
      </w:r>
      <w:r>
        <w:rPr>
          <w:rFonts w:hint="eastAsia" w:ascii="仿宋" w:hAnsi="仿宋" w:eastAsia="仿宋" w:cs="等线"/>
          <w:color w:val="auto"/>
          <w:sz w:val="30"/>
          <w:szCs w:val="30"/>
          <w:u w:val="single"/>
          <w:lang w:val="en-US" w:eastAsia="zh-CN"/>
        </w:rPr>
        <w:t xml:space="preserve">                     </w:t>
      </w:r>
      <w:r>
        <w:rPr>
          <w:rFonts w:hint="eastAsia" w:ascii="仿宋" w:hAnsi="仿宋" w:eastAsia="仿宋" w:cs="等线"/>
          <w:b/>
          <w:bCs/>
          <w:color w:val="auto"/>
          <w:sz w:val="30"/>
          <w:szCs w:val="30"/>
          <w:u w:val="single"/>
          <w:lang w:val="en-US" w:eastAsia="zh-CN"/>
        </w:rPr>
        <w:t xml:space="preserve"> </w:t>
      </w:r>
    </w:p>
    <w:p w14:paraId="5C2BD02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31CC1D09">
      <w:pPr>
        <w:pStyle w:val="4"/>
        <w:numPr>
          <w:ilvl w:val="0"/>
          <w:numId w:val="0"/>
        </w:numPr>
        <w:ind w:leftChars="0"/>
        <w:jc w:val="both"/>
        <w:rPr>
          <w:rFonts w:hint="eastAsia"/>
          <w:color w:val="auto"/>
        </w:rPr>
      </w:pPr>
    </w:p>
    <w:p w14:paraId="07752FE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default"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2026年   月</w:t>
      </w:r>
    </w:p>
    <w:p w14:paraId="24FF2A0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sectPr>
          <w:pgSz w:w="11905" w:h="16838" w:orient="landscape"/>
          <w:pgMar w:top="1440" w:right="1803" w:bottom="1440" w:left="1803" w:header="851" w:footer="992" w:gutter="0"/>
          <w:pgBorders>
            <w:top w:val="none" w:sz="0" w:space="0"/>
            <w:left w:val="none" w:sz="0" w:space="0"/>
            <w:bottom w:val="none" w:sz="0" w:space="0"/>
            <w:right w:val="none" w:sz="0" w:space="0"/>
          </w:pgBorders>
          <w:pgNumType w:fmt="decimal"/>
          <w:cols w:space="0" w:num="1"/>
          <w:docGrid w:type="lines" w:linePitch="312" w:charSpace="0"/>
        </w:sectPr>
      </w:pPr>
    </w:p>
    <w:p w14:paraId="71F11A38">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三原县2026年校园餐及农村义务教育学生营养改善计划政府</w:t>
      </w:r>
      <w:r>
        <w:rPr>
          <w:rFonts w:hint="eastAsia" w:ascii="方正小标宋简体" w:hAnsi="方正小标宋简体" w:eastAsia="方正小标宋简体" w:cs="方正小标宋简体"/>
          <w:color w:val="auto"/>
          <w:sz w:val="44"/>
          <w:szCs w:val="44"/>
          <w:lang w:val="en-US" w:eastAsia="zh-CN"/>
        </w:rPr>
        <w:t>采购</w:t>
      </w:r>
      <w:r>
        <w:rPr>
          <w:rFonts w:hint="eastAsia" w:ascii="方正小标宋简体" w:hAnsi="方正小标宋简体" w:eastAsia="方正小标宋简体" w:cs="方正小标宋简体"/>
          <w:color w:val="auto"/>
          <w:sz w:val="44"/>
          <w:szCs w:val="44"/>
        </w:rPr>
        <w:t>合同</w:t>
      </w:r>
    </w:p>
    <w:p w14:paraId="48C1DAC5">
      <w:pPr>
        <w:pStyle w:val="2"/>
        <w:rPr>
          <w:rFonts w:hint="eastAsia"/>
          <w:color w:val="auto"/>
        </w:rPr>
      </w:pPr>
    </w:p>
    <w:p w14:paraId="23922790">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b/>
          <w:bCs/>
          <w:color w:val="auto"/>
          <w:sz w:val="30"/>
          <w:szCs w:val="30"/>
          <w:u w:val="single"/>
          <w:lang w:val="en-US" w:eastAsia="zh-CN"/>
        </w:rPr>
      </w:pPr>
      <w:r>
        <w:rPr>
          <w:rFonts w:hint="eastAsia" w:ascii="仿宋_GB2312" w:hAnsi="仿宋_GB2312" w:eastAsia="仿宋_GB2312" w:cs="仿宋_GB2312"/>
          <w:color w:val="auto"/>
          <w:sz w:val="30"/>
          <w:szCs w:val="30"/>
        </w:rPr>
        <w:t>甲方：</w:t>
      </w:r>
      <w:r>
        <w:rPr>
          <w:rFonts w:hint="eastAsia" w:ascii="仿宋_GB2312" w:hAnsi="仿宋_GB2312" w:eastAsia="仿宋_GB2312" w:cs="仿宋_GB2312"/>
          <w:b/>
          <w:bCs/>
          <w:color w:val="auto"/>
          <w:sz w:val="30"/>
          <w:szCs w:val="30"/>
          <w:u w:val="single"/>
          <w:lang w:val="en-US" w:eastAsia="zh-CN"/>
        </w:rPr>
        <w:t xml:space="preserve">         </w:t>
      </w:r>
      <w:r>
        <w:rPr>
          <w:rFonts w:hint="eastAsia" w:ascii="仿宋_GB2312" w:hAnsi="仿宋_GB2312" w:eastAsia="仿宋_GB2312" w:cs="仿宋_GB2312"/>
          <w:b/>
          <w:bCs/>
          <w:color w:val="auto"/>
          <w:sz w:val="30"/>
          <w:szCs w:val="30"/>
          <w:u w:val="single"/>
        </w:rPr>
        <w:t>三原县教育局</w:t>
      </w:r>
      <w:r>
        <w:rPr>
          <w:rFonts w:hint="eastAsia" w:ascii="仿宋_GB2312" w:hAnsi="仿宋_GB2312" w:eastAsia="仿宋_GB2312" w:cs="仿宋_GB2312"/>
          <w:b/>
          <w:bCs/>
          <w:color w:val="auto"/>
          <w:sz w:val="30"/>
          <w:szCs w:val="30"/>
          <w:u w:val="single"/>
          <w:lang w:val="en-US" w:eastAsia="zh-CN"/>
        </w:rPr>
        <w:t xml:space="preserve">          </w:t>
      </w:r>
    </w:p>
    <w:p w14:paraId="0C7E50DA">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b/>
          <w:bCs/>
          <w:color w:val="auto"/>
          <w:sz w:val="30"/>
          <w:szCs w:val="30"/>
          <w:u w:val="single"/>
          <w:lang w:val="en-US" w:eastAsia="zh-CN"/>
        </w:rPr>
      </w:pPr>
      <w:r>
        <w:rPr>
          <w:rFonts w:hint="eastAsia" w:ascii="仿宋_GB2312" w:hAnsi="仿宋_GB2312" w:eastAsia="仿宋_GB2312" w:cs="仿宋_GB2312"/>
          <w:color w:val="auto"/>
          <w:sz w:val="30"/>
          <w:szCs w:val="30"/>
        </w:rPr>
        <w:t>乙方：</w:t>
      </w:r>
      <w:r>
        <w:rPr>
          <w:rFonts w:hint="eastAsia" w:ascii="仿宋_GB2312" w:hAnsi="仿宋_GB2312" w:eastAsia="仿宋_GB2312" w:cs="仿宋_GB2312"/>
          <w:color w:val="auto"/>
          <w:sz w:val="30"/>
          <w:szCs w:val="30"/>
          <w:u w:val="single"/>
          <w:lang w:val="en-US" w:eastAsia="zh-CN"/>
        </w:rPr>
        <w:t xml:space="preserve">                               </w:t>
      </w:r>
    </w:p>
    <w:p w14:paraId="53A8A87D">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both"/>
        <w:textAlignment w:val="auto"/>
        <w:rPr>
          <w:rFonts w:hint="eastAsia" w:ascii="仿宋_GB2312" w:hAnsi="仿宋_GB2312" w:eastAsia="仿宋_GB2312" w:cs="仿宋_GB2312"/>
          <w:b/>
          <w:bCs/>
          <w:color w:val="auto"/>
          <w:sz w:val="30"/>
          <w:szCs w:val="30"/>
        </w:rPr>
      </w:pPr>
      <w:r>
        <w:rPr>
          <w:rFonts w:hint="eastAsia" w:ascii="仿宋_GB2312" w:hAnsi="仿宋_GB2312" w:eastAsia="仿宋_GB2312" w:cs="仿宋_GB2312"/>
          <w:color w:val="auto"/>
          <w:sz w:val="30"/>
          <w:szCs w:val="30"/>
        </w:rPr>
        <w:t>根据《中华人民共和国政府采购法》及实施条例、《中华人民共和国民法典》和甲方（采购项目：</w:t>
      </w:r>
      <w:r>
        <w:rPr>
          <w:rFonts w:hint="eastAsia" w:ascii="仿宋_GB2312" w:hAnsi="仿宋_GB2312" w:eastAsia="仿宋_GB2312" w:cs="仿宋_GB2312"/>
          <w:b/>
          <w:bCs/>
          <w:color w:val="auto"/>
          <w:sz w:val="30"/>
          <w:szCs w:val="30"/>
          <w:u w:val="single"/>
          <w:lang w:eastAsia="zh-CN"/>
        </w:rPr>
        <w:t>三原县2026年校园餐及农村义务教育学生营养改善计划政府项目</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采购项目编号：</w:t>
      </w:r>
      <w:r>
        <w:rPr>
          <w:rFonts w:hint="eastAsia" w:ascii="仿宋_GB2312" w:hAnsi="仿宋_GB2312" w:eastAsia="仿宋_GB2312" w:cs="仿宋_GB2312"/>
          <w:b/>
          <w:color w:val="auto"/>
          <w:sz w:val="30"/>
          <w:szCs w:val="30"/>
          <w:u w:val="single"/>
          <w:lang w:val="en-US" w:eastAsia="zh-CN"/>
        </w:rPr>
        <w:t xml:space="preserve">          </w:t>
      </w:r>
      <w:r>
        <w:rPr>
          <w:rFonts w:hint="eastAsia" w:ascii="仿宋_GB2312" w:hAnsi="仿宋_GB2312" w:eastAsia="仿宋_GB2312" w:cs="仿宋_GB2312"/>
          <w:color w:val="auto"/>
          <w:sz w:val="30"/>
          <w:szCs w:val="30"/>
        </w:rPr>
        <w:t>）的招标文件、投标文件等有关规定，甲、乙双方在平等自愿原则下签订本合同，并共同遵守如下条款：</w:t>
      </w:r>
    </w:p>
    <w:p w14:paraId="675F6201">
      <w:pPr>
        <w:keepNext w:val="0"/>
        <w:keepLines w:val="0"/>
        <w:pageBreakBefore w:val="0"/>
        <w:widowControl w:val="0"/>
        <w:kinsoku/>
        <w:wordWrap/>
        <w:overflowPunct/>
        <w:topLinePunct w:val="0"/>
        <w:autoSpaceDE/>
        <w:autoSpaceDN/>
        <w:bidi w:val="0"/>
        <w:adjustRightInd w:val="0"/>
        <w:snapToGrid w:val="0"/>
        <w:spacing w:line="58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第一条 合同标的及数量</w:t>
      </w:r>
    </w:p>
    <w:p w14:paraId="7CD00FAF">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1、乙方向甲方提供下列货物（产品）：</w:t>
      </w:r>
    </w:p>
    <w:tbl>
      <w:tblPr>
        <w:tblStyle w:val="8"/>
        <w:tblpPr w:leftFromText="180" w:rightFromText="180" w:vertAnchor="text" w:horzAnchor="margin" w:tblpXSpec="center" w:tblpY="570"/>
        <w:tblW w:w="937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2"/>
        <w:gridCol w:w="942"/>
        <w:gridCol w:w="1375"/>
        <w:gridCol w:w="2454"/>
        <w:gridCol w:w="1298"/>
        <w:gridCol w:w="1094"/>
        <w:gridCol w:w="1473"/>
      </w:tblGrid>
      <w:tr w14:paraId="5E30B4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827" w:hRule="atLeast"/>
        </w:trPr>
        <w:tc>
          <w:tcPr>
            <w:tcW w:w="742" w:type="dxa"/>
            <w:tcBorders>
              <w:top w:val="single" w:color="auto" w:sz="12" w:space="0"/>
              <w:left w:val="single" w:color="auto" w:sz="12" w:space="0"/>
              <w:bottom w:val="single" w:color="auto" w:sz="4" w:space="0"/>
              <w:right w:val="single" w:color="auto" w:sz="4" w:space="0"/>
            </w:tcBorders>
            <w:noWrap w:val="0"/>
            <w:vAlign w:val="center"/>
          </w:tcPr>
          <w:p w14:paraId="66787D53">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序号</w:t>
            </w:r>
          </w:p>
        </w:tc>
        <w:tc>
          <w:tcPr>
            <w:tcW w:w="942" w:type="dxa"/>
            <w:tcBorders>
              <w:top w:val="single" w:color="auto" w:sz="12" w:space="0"/>
              <w:left w:val="single" w:color="auto" w:sz="4" w:space="0"/>
              <w:bottom w:val="single" w:color="auto" w:sz="4" w:space="0"/>
              <w:right w:val="single" w:color="auto" w:sz="4" w:space="0"/>
            </w:tcBorders>
            <w:noWrap w:val="0"/>
            <w:vAlign w:val="center"/>
          </w:tcPr>
          <w:p w14:paraId="6B10000E">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采购</w:t>
            </w:r>
          </w:p>
          <w:p w14:paraId="2A45DDBB">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内容</w:t>
            </w:r>
          </w:p>
        </w:tc>
        <w:tc>
          <w:tcPr>
            <w:tcW w:w="1375" w:type="dxa"/>
            <w:tcBorders>
              <w:top w:val="single" w:color="auto" w:sz="12" w:space="0"/>
              <w:left w:val="single" w:color="auto" w:sz="4" w:space="0"/>
              <w:bottom w:val="single" w:color="auto" w:sz="4" w:space="0"/>
              <w:right w:val="single" w:color="auto" w:sz="4" w:space="0"/>
            </w:tcBorders>
            <w:noWrap w:val="0"/>
            <w:vAlign w:val="center"/>
          </w:tcPr>
          <w:p w14:paraId="40C3555F">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规格、型号</w:t>
            </w:r>
          </w:p>
        </w:tc>
        <w:tc>
          <w:tcPr>
            <w:tcW w:w="2454" w:type="dxa"/>
            <w:tcBorders>
              <w:top w:val="single" w:color="auto" w:sz="12" w:space="0"/>
              <w:left w:val="single" w:color="auto" w:sz="4" w:space="0"/>
              <w:bottom w:val="single" w:color="auto" w:sz="4" w:space="0"/>
              <w:right w:val="single" w:color="auto" w:sz="4" w:space="0"/>
            </w:tcBorders>
            <w:noWrap w:val="0"/>
            <w:vAlign w:val="center"/>
          </w:tcPr>
          <w:p w14:paraId="5DBC8C3D">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制造商</w:t>
            </w:r>
          </w:p>
        </w:tc>
        <w:tc>
          <w:tcPr>
            <w:tcW w:w="1298" w:type="dxa"/>
            <w:tcBorders>
              <w:top w:val="single" w:color="auto" w:sz="12" w:space="0"/>
              <w:left w:val="single" w:color="auto" w:sz="4" w:space="0"/>
              <w:bottom w:val="single" w:color="auto" w:sz="4" w:space="0"/>
              <w:right w:val="single" w:color="auto" w:sz="4" w:space="0"/>
            </w:tcBorders>
            <w:noWrap w:val="0"/>
            <w:vAlign w:val="center"/>
          </w:tcPr>
          <w:p w14:paraId="08CEC067">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数量</w:t>
            </w:r>
          </w:p>
        </w:tc>
        <w:tc>
          <w:tcPr>
            <w:tcW w:w="1094" w:type="dxa"/>
            <w:tcBorders>
              <w:top w:val="single" w:color="auto" w:sz="12" w:space="0"/>
              <w:left w:val="single" w:color="auto" w:sz="4" w:space="0"/>
              <w:bottom w:val="single" w:color="auto" w:sz="4" w:space="0"/>
              <w:right w:val="single" w:color="auto" w:sz="4" w:space="0"/>
            </w:tcBorders>
            <w:noWrap w:val="0"/>
            <w:vAlign w:val="center"/>
          </w:tcPr>
          <w:p w14:paraId="6BEA1E2E">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单价(</w:t>
            </w:r>
            <w:r>
              <w:rPr>
                <w:rFonts w:hint="eastAsia" w:ascii="仿宋_GB2312" w:hAnsi="仿宋_GB2312" w:eastAsia="仿宋_GB2312" w:cs="仿宋_GB2312"/>
                <w:b/>
                <w:color w:val="auto"/>
                <w:sz w:val="24"/>
                <w:szCs w:val="24"/>
                <w:lang w:val="en-US" w:eastAsia="zh-CN"/>
              </w:rPr>
              <w:t>千克/</w:t>
            </w:r>
            <w:r>
              <w:rPr>
                <w:rFonts w:hint="eastAsia" w:ascii="仿宋_GB2312" w:hAnsi="仿宋_GB2312" w:eastAsia="仿宋_GB2312" w:cs="仿宋_GB2312"/>
                <w:b/>
                <w:color w:val="auto"/>
                <w:sz w:val="24"/>
                <w:szCs w:val="24"/>
              </w:rPr>
              <w:t>元</w:t>
            </w:r>
            <w:r>
              <w:rPr>
                <w:rFonts w:hint="eastAsia" w:ascii="仿宋_GB2312" w:hAnsi="仿宋_GB2312" w:eastAsia="仿宋_GB2312" w:cs="仿宋_GB2312"/>
                <w:b/>
                <w:color w:val="auto"/>
                <w:sz w:val="24"/>
                <w:szCs w:val="24"/>
                <w:lang w:eastAsia="zh-CN"/>
              </w:rPr>
              <w:t>）</w:t>
            </w:r>
          </w:p>
        </w:tc>
        <w:tc>
          <w:tcPr>
            <w:tcW w:w="1473" w:type="dxa"/>
            <w:tcBorders>
              <w:top w:val="single" w:color="auto" w:sz="12" w:space="0"/>
              <w:left w:val="single" w:color="auto" w:sz="4" w:space="0"/>
              <w:bottom w:val="single" w:color="auto" w:sz="4" w:space="0"/>
              <w:right w:val="single" w:color="auto" w:sz="12" w:space="0"/>
            </w:tcBorders>
            <w:noWrap w:val="0"/>
            <w:vAlign w:val="center"/>
          </w:tcPr>
          <w:p w14:paraId="5A5C682D">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合价</w:t>
            </w:r>
            <w:r>
              <w:rPr>
                <w:rFonts w:hint="eastAsia" w:ascii="仿宋_GB2312" w:hAnsi="仿宋_GB2312" w:eastAsia="仿宋_GB2312" w:cs="仿宋_GB2312"/>
                <w:b/>
                <w:color w:val="auto"/>
                <w:sz w:val="24"/>
                <w:szCs w:val="24"/>
                <w:lang w:eastAsia="zh-CN"/>
              </w:rPr>
              <w:t>（</w:t>
            </w:r>
            <w:r>
              <w:rPr>
                <w:rFonts w:hint="eastAsia" w:ascii="仿宋_GB2312" w:hAnsi="仿宋_GB2312" w:eastAsia="仿宋_GB2312" w:cs="仿宋_GB2312"/>
                <w:b/>
                <w:color w:val="auto"/>
                <w:sz w:val="24"/>
                <w:szCs w:val="24"/>
              </w:rPr>
              <w:t>元</w:t>
            </w:r>
            <w:r>
              <w:rPr>
                <w:rFonts w:hint="eastAsia" w:ascii="仿宋_GB2312" w:hAnsi="仿宋_GB2312" w:eastAsia="仿宋_GB2312" w:cs="仿宋_GB2312"/>
                <w:b/>
                <w:color w:val="auto"/>
                <w:sz w:val="24"/>
                <w:szCs w:val="24"/>
                <w:lang w:eastAsia="zh-CN"/>
              </w:rPr>
              <w:t>）</w:t>
            </w:r>
          </w:p>
        </w:tc>
      </w:tr>
      <w:tr w14:paraId="38F4D5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742" w:type="dxa"/>
            <w:tcBorders>
              <w:top w:val="single" w:color="auto" w:sz="4" w:space="0"/>
              <w:left w:val="single" w:color="auto" w:sz="12" w:space="0"/>
              <w:bottom w:val="single" w:color="auto" w:sz="4" w:space="0"/>
              <w:right w:val="single" w:color="auto" w:sz="4" w:space="0"/>
            </w:tcBorders>
            <w:noWrap w:val="0"/>
            <w:vAlign w:val="center"/>
          </w:tcPr>
          <w:p w14:paraId="09B956D4">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942" w:type="dxa"/>
            <w:tcBorders>
              <w:top w:val="single" w:color="auto" w:sz="4" w:space="0"/>
              <w:left w:val="single" w:color="auto" w:sz="4" w:space="0"/>
              <w:bottom w:val="single" w:color="auto" w:sz="4" w:space="0"/>
              <w:right w:val="single" w:color="auto" w:sz="4" w:space="0"/>
            </w:tcBorders>
            <w:noWrap w:val="0"/>
            <w:vAlign w:val="center"/>
          </w:tcPr>
          <w:p w14:paraId="2F23FF5F">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大米</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C1F0213">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default" w:ascii="仿宋_GB2312" w:hAnsi="仿宋_GB2312" w:eastAsia="仿宋_GB2312" w:cs="仿宋_GB2312"/>
                <w:color w:val="auto"/>
                <w:kern w:val="2"/>
                <w:sz w:val="24"/>
                <w:szCs w:val="24"/>
                <w:highlight w:val="none"/>
                <w:lang w:val="en-US" w:eastAsia="zh-CN" w:bidi="ar-SA"/>
              </w:rPr>
            </w:pPr>
          </w:p>
        </w:tc>
        <w:tc>
          <w:tcPr>
            <w:tcW w:w="2454" w:type="dxa"/>
            <w:tcBorders>
              <w:top w:val="single" w:color="auto" w:sz="4" w:space="0"/>
              <w:left w:val="single" w:color="auto" w:sz="4" w:space="0"/>
              <w:bottom w:val="single" w:color="auto" w:sz="4" w:space="0"/>
              <w:right w:val="single" w:color="auto" w:sz="4" w:space="0"/>
            </w:tcBorders>
            <w:noWrap w:val="0"/>
            <w:vAlign w:val="center"/>
          </w:tcPr>
          <w:p w14:paraId="39E76D2B">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lang w:eastAsia="zh-CN"/>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7BFC317">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094" w:type="dxa"/>
            <w:tcBorders>
              <w:top w:val="single" w:color="auto" w:sz="4" w:space="0"/>
              <w:left w:val="single" w:color="auto" w:sz="4" w:space="0"/>
              <w:bottom w:val="single" w:color="auto" w:sz="4" w:space="0"/>
              <w:right w:val="single" w:color="auto" w:sz="4" w:space="0"/>
            </w:tcBorders>
            <w:noWrap w:val="0"/>
            <w:vAlign w:val="center"/>
          </w:tcPr>
          <w:p w14:paraId="2B04F65E">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473" w:type="dxa"/>
            <w:tcBorders>
              <w:top w:val="single" w:color="auto" w:sz="4" w:space="0"/>
              <w:left w:val="single" w:color="auto" w:sz="4" w:space="0"/>
              <w:bottom w:val="single" w:color="auto" w:sz="4" w:space="0"/>
              <w:right w:val="single" w:color="auto" w:sz="12" w:space="0"/>
            </w:tcBorders>
            <w:noWrap w:val="0"/>
            <w:vAlign w:val="center"/>
          </w:tcPr>
          <w:p w14:paraId="735DD792">
            <w:pPr>
              <w:keepNext/>
              <w:keepLines/>
              <w:pageBreakBefore w:val="0"/>
              <w:widowControl w:val="0"/>
              <w:kinsoku/>
              <w:wordWrap/>
              <w:overflowPunct/>
              <w:topLinePunct w:val="0"/>
              <w:autoSpaceDE/>
              <w:autoSpaceDN/>
              <w:bidi w:val="0"/>
              <w:adjustRightInd/>
              <w:snapToGrid/>
              <w:spacing w:line="280" w:lineRule="exact"/>
              <w:jc w:val="both"/>
              <w:textAlignment w:val="auto"/>
              <w:outlineLvl w:val="1"/>
              <w:rPr>
                <w:rFonts w:hint="default" w:ascii="仿宋_GB2312" w:hAnsi="仿宋_GB2312" w:eastAsia="仿宋_GB2312" w:cs="仿宋_GB2312"/>
                <w:color w:val="auto"/>
                <w:sz w:val="24"/>
                <w:szCs w:val="24"/>
                <w:lang w:val="en-US" w:eastAsia="zh-CN"/>
              </w:rPr>
            </w:pPr>
          </w:p>
        </w:tc>
      </w:tr>
      <w:tr w14:paraId="510BDE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42" w:type="dxa"/>
            <w:tcBorders>
              <w:top w:val="single" w:color="auto" w:sz="4" w:space="0"/>
              <w:left w:val="single" w:color="auto" w:sz="12" w:space="0"/>
              <w:bottom w:val="single" w:color="auto" w:sz="4" w:space="0"/>
              <w:right w:val="single" w:color="auto" w:sz="4" w:space="0"/>
            </w:tcBorders>
            <w:noWrap w:val="0"/>
            <w:vAlign w:val="center"/>
          </w:tcPr>
          <w:p w14:paraId="69D3DB45">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rPr>
            </w:pPr>
          </w:p>
        </w:tc>
        <w:tc>
          <w:tcPr>
            <w:tcW w:w="942" w:type="dxa"/>
            <w:tcBorders>
              <w:top w:val="single" w:color="auto" w:sz="4" w:space="0"/>
              <w:left w:val="single" w:color="auto" w:sz="4" w:space="0"/>
              <w:bottom w:val="single" w:color="auto" w:sz="4" w:space="0"/>
              <w:right w:val="single" w:color="auto" w:sz="4" w:space="0"/>
            </w:tcBorders>
            <w:noWrap w:val="0"/>
            <w:vAlign w:val="center"/>
          </w:tcPr>
          <w:p w14:paraId="28106A0A">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9D14441">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default" w:ascii="仿宋_GB2312" w:hAnsi="仿宋_GB2312" w:eastAsia="仿宋_GB2312" w:cs="仿宋_GB2312"/>
                <w:color w:val="auto"/>
                <w:kern w:val="2"/>
                <w:sz w:val="24"/>
                <w:szCs w:val="24"/>
                <w:highlight w:val="none"/>
                <w:lang w:val="en-US" w:eastAsia="zh-CN" w:bidi="ar-SA"/>
              </w:rPr>
            </w:pPr>
          </w:p>
        </w:tc>
        <w:tc>
          <w:tcPr>
            <w:tcW w:w="2454" w:type="dxa"/>
            <w:tcBorders>
              <w:top w:val="single" w:color="auto" w:sz="4" w:space="0"/>
              <w:left w:val="single" w:color="auto" w:sz="4" w:space="0"/>
              <w:bottom w:val="single" w:color="auto" w:sz="4" w:space="0"/>
              <w:right w:val="single" w:color="auto" w:sz="4" w:space="0"/>
            </w:tcBorders>
            <w:noWrap w:val="0"/>
            <w:vAlign w:val="center"/>
          </w:tcPr>
          <w:p w14:paraId="04A7C018">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lang w:val="en-US" w:eastAsia="zh-CN"/>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624B6B60">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094" w:type="dxa"/>
            <w:tcBorders>
              <w:top w:val="single" w:color="auto" w:sz="4" w:space="0"/>
              <w:left w:val="single" w:color="auto" w:sz="4" w:space="0"/>
              <w:bottom w:val="single" w:color="auto" w:sz="4" w:space="0"/>
              <w:right w:val="single" w:color="auto" w:sz="4" w:space="0"/>
            </w:tcBorders>
            <w:noWrap w:val="0"/>
            <w:vAlign w:val="center"/>
          </w:tcPr>
          <w:p w14:paraId="215435B0">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473" w:type="dxa"/>
            <w:tcBorders>
              <w:top w:val="single" w:color="auto" w:sz="4" w:space="0"/>
              <w:left w:val="single" w:color="auto" w:sz="4" w:space="0"/>
              <w:bottom w:val="single" w:color="auto" w:sz="4" w:space="0"/>
              <w:right w:val="single" w:color="auto" w:sz="12" w:space="0"/>
            </w:tcBorders>
            <w:noWrap w:val="0"/>
            <w:vAlign w:val="center"/>
          </w:tcPr>
          <w:p w14:paraId="008F8E4B">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r>
      <w:tr w14:paraId="330194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742" w:type="dxa"/>
            <w:tcBorders>
              <w:top w:val="single" w:color="auto" w:sz="4" w:space="0"/>
              <w:left w:val="single" w:color="auto" w:sz="12" w:space="0"/>
              <w:bottom w:val="single" w:color="auto" w:sz="4" w:space="0"/>
              <w:right w:val="single" w:color="auto" w:sz="4" w:space="0"/>
            </w:tcBorders>
            <w:noWrap w:val="0"/>
            <w:vAlign w:val="center"/>
          </w:tcPr>
          <w:p w14:paraId="3FB71091">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rPr>
            </w:pPr>
          </w:p>
        </w:tc>
        <w:tc>
          <w:tcPr>
            <w:tcW w:w="942" w:type="dxa"/>
            <w:tcBorders>
              <w:top w:val="single" w:color="auto" w:sz="4" w:space="0"/>
              <w:left w:val="single" w:color="auto" w:sz="4" w:space="0"/>
              <w:bottom w:val="single" w:color="auto" w:sz="4" w:space="0"/>
              <w:right w:val="single" w:color="auto" w:sz="4" w:space="0"/>
            </w:tcBorders>
            <w:noWrap w:val="0"/>
            <w:vAlign w:val="center"/>
          </w:tcPr>
          <w:p w14:paraId="11DE7AE9">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仿宋_GB2312" w:hAnsi="仿宋_GB2312" w:eastAsia="仿宋_GB2312" w:cs="仿宋_GB2312"/>
                <w:color w:val="auto"/>
                <w:kern w:val="2"/>
                <w:sz w:val="24"/>
                <w:szCs w:val="24"/>
                <w:highlight w:val="none"/>
                <w:lang w:val="en-US" w:eastAsia="zh-CN" w:bidi="ar-SA"/>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5AFA26B">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仿宋_GB2312" w:hAnsi="仿宋_GB2312" w:eastAsia="仿宋_GB2312" w:cs="仿宋_GB2312"/>
                <w:color w:val="auto"/>
                <w:kern w:val="2"/>
                <w:sz w:val="24"/>
                <w:szCs w:val="24"/>
                <w:highlight w:val="none"/>
                <w:lang w:val="en-US" w:eastAsia="zh-CN" w:bidi="ar-SA"/>
              </w:rPr>
            </w:pPr>
          </w:p>
        </w:tc>
        <w:tc>
          <w:tcPr>
            <w:tcW w:w="2454" w:type="dxa"/>
            <w:tcBorders>
              <w:top w:val="single" w:color="auto" w:sz="4" w:space="0"/>
              <w:left w:val="single" w:color="auto" w:sz="4" w:space="0"/>
              <w:bottom w:val="single" w:color="auto" w:sz="4" w:space="0"/>
              <w:right w:val="single" w:color="auto" w:sz="4" w:space="0"/>
            </w:tcBorders>
            <w:noWrap w:val="0"/>
            <w:vAlign w:val="center"/>
          </w:tcPr>
          <w:p w14:paraId="2B48EE5E">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lang w:val="en-US" w:eastAsia="zh-CN"/>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46003FD">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094" w:type="dxa"/>
            <w:tcBorders>
              <w:top w:val="single" w:color="auto" w:sz="4" w:space="0"/>
              <w:left w:val="single" w:color="auto" w:sz="4" w:space="0"/>
              <w:bottom w:val="single" w:color="auto" w:sz="4" w:space="0"/>
              <w:right w:val="single" w:color="auto" w:sz="4" w:space="0"/>
            </w:tcBorders>
            <w:noWrap w:val="0"/>
            <w:vAlign w:val="center"/>
          </w:tcPr>
          <w:p w14:paraId="0317692A">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473" w:type="dxa"/>
            <w:tcBorders>
              <w:top w:val="single" w:color="auto" w:sz="4" w:space="0"/>
              <w:left w:val="single" w:color="auto" w:sz="4" w:space="0"/>
              <w:bottom w:val="single" w:color="auto" w:sz="4" w:space="0"/>
              <w:right w:val="single" w:color="auto" w:sz="12" w:space="0"/>
            </w:tcBorders>
            <w:noWrap w:val="0"/>
            <w:vAlign w:val="center"/>
          </w:tcPr>
          <w:p w14:paraId="06E19EAC">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r>
      <w:tr w14:paraId="3A6143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742" w:type="dxa"/>
            <w:tcBorders>
              <w:top w:val="single" w:color="auto" w:sz="4" w:space="0"/>
              <w:left w:val="single" w:color="auto" w:sz="12" w:space="0"/>
              <w:bottom w:val="single" w:color="auto" w:sz="4" w:space="0"/>
              <w:right w:val="single" w:color="auto" w:sz="4" w:space="0"/>
            </w:tcBorders>
            <w:noWrap w:val="0"/>
            <w:vAlign w:val="center"/>
          </w:tcPr>
          <w:p w14:paraId="64B80BCB">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lang w:val="en-US" w:eastAsia="zh-CN"/>
              </w:rPr>
            </w:pPr>
          </w:p>
        </w:tc>
        <w:tc>
          <w:tcPr>
            <w:tcW w:w="942" w:type="dxa"/>
            <w:tcBorders>
              <w:top w:val="single" w:color="auto" w:sz="4" w:space="0"/>
              <w:left w:val="single" w:color="auto" w:sz="4" w:space="0"/>
              <w:bottom w:val="single" w:color="auto" w:sz="4" w:space="0"/>
              <w:right w:val="single" w:color="auto" w:sz="4" w:space="0"/>
            </w:tcBorders>
            <w:noWrap w:val="0"/>
            <w:vAlign w:val="center"/>
          </w:tcPr>
          <w:p w14:paraId="0209FE52">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仿宋_GB2312" w:hAnsi="仿宋_GB2312" w:eastAsia="仿宋_GB2312" w:cs="仿宋_GB2312"/>
                <w:color w:val="auto"/>
                <w:kern w:val="2"/>
                <w:sz w:val="24"/>
                <w:szCs w:val="24"/>
                <w:highlight w:val="none"/>
                <w:lang w:val="en-US" w:eastAsia="zh-CN" w:bidi="ar-SA"/>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3E80C80">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default" w:ascii="仿宋_GB2312" w:hAnsi="仿宋_GB2312" w:eastAsia="仿宋_GB2312" w:cs="仿宋_GB2312"/>
                <w:color w:val="auto"/>
                <w:kern w:val="2"/>
                <w:sz w:val="24"/>
                <w:szCs w:val="24"/>
                <w:highlight w:val="none"/>
                <w:lang w:val="en-US" w:eastAsia="zh-CN" w:bidi="ar-SA"/>
              </w:rPr>
            </w:pPr>
          </w:p>
        </w:tc>
        <w:tc>
          <w:tcPr>
            <w:tcW w:w="2454" w:type="dxa"/>
            <w:tcBorders>
              <w:top w:val="single" w:color="auto" w:sz="4" w:space="0"/>
              <w:left w:val="single" w:color="auto" w:sz="4" w:space="0"/>
              <w:bottom w:val="single" w:color="auto" w:sz="4" w:space="0"/>
              <w:right w:val="single" w:color="auto" w:sz="4" w:space="0"/>
            </w:tcBorders>
            <w:noWrap w:val="0"/>
            <w:vAlign w:val="center"/>
          </w:tcPr>
          <w:p w14:paraId="42993A6F">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lang w:val="en-US" w:eastAsia="zh-CN"/>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CA33473">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094" w:type="dxa"/>
            <w:tcBorders>
              <w:top w:val="single" w:color="auto" w:sz="4" w:space="0"/>
              <w:left w:val="single" w:color="auto" w:sz="4" w:space="0"/>
              <w:bottom w:val="single" w:color="auto" w:sz="4" w:space="0"/>
              <w:right w:val="single" w:color="auto" w:sz="4" w:space="0"/>
            </w:tcBorders>
            <w:noWrap w:val="0"/>
            <w:vAlign w:val="center"/>
          </w:tcPr>
          <w:p w14:paraId="02DDCD05">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473" w:type="dxa"/>
            <w:tcBorders>
              <w:top w:val="single" w:color="auto" w:sz="4" w:space="0"/>
              <w:left w:val="single" w:color="auto" w:sz="4" w:space="0"/>
              <w:bottom w:val="single" w:color="auto" w:sz="4" w:space="0"/>
              <w:right w:val="single" w:color="auto" w:sz="12" w:space="0"/>
            </w:tcBorders>
            <w:noWrap w:val="0"/>
            <w:vAlign w:val="center"/>
          </w:tcPr>
          <w:p w14:paraId="2617B5C4">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r>
      <w:tr w14:paraId="533820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42" w:type="dxa"/>
            <w:tcBorders>
              <w:top w:val="single" w:color="auto" w:sz="4" w:space="0"/>
              <w:left w:val="single" w:color="auto" w:sz="12" w:space="0"/>
              <w:bottom w:val="single" w:color="auto" w:sz="4" w:space="0"/>
              <w:right w:val="single" w:color="auto" w:sz="4" w:space="0"/>
            </w:tcBorders>
            <w:noWrap w:val="0"/>
            <w:vAlign w:val="center"/>
          </w:tcPr>
          <w:p w14:paraId="46CC6322">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lang w:val="en-US" w:eastAsia="zh-CN"/>
              </w:rPr>
            </w:pPr>
          </w:p>
        </w:tc>
        <w:tc>
          <w:tcPr>
            <w:tcW w:w="942" w:type="dxa"/>
            <w:tcBorders>
              <w:top w:val="single" w:color="auto" w:sz="4" w:space="0"/>
              <w:left w:val="single" w:color="auto" w:sz="4" w:space="0"/>
              <w:bottom w:val="single" w:color="auto" w:sz="4" w:space="0"/>
              <w:right w:val="single" w:color="auto" w:sz="4" w:space="0"/>
            </w:tcBorders>
            <w:noWrap w:val="0"/>
            <w:vAlign w:val="center"/>
          </w:tcPr>
          <w:p w14:paraId="4494538C">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仿宋_GB2312" w:hAnsi="仿宋_GB2312" w:eastAsia="仿宋_GB2312" w:cs="仿宋_GB2312"/>
                <w:color w:val="auto"/>
                <w:kern w:val="2"/>
                <w:sz w:val="24"/>
                <w:szCs w:val="24"/>
                <w:highlight w:val="none"/>
                <w:lang w:val="en-US" w:eastAsia="zh-CN" w:bidi="ar-SA"/>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7FF658FD">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default" w:ascii="仿宋_GB2312" w:hAnsi="仿宋_GB2312" w:eastAsia="仿宋_GB2312" w:cs="仿宋_GB2312"/>
                <w:color w:val="auto"/>
                <w:kern w:val="2"/>
                <w:sz w:val="24"/>
                <w:szCs w:val="24"/>
                <w:highlight w:val="none"/>
                <w:lang w:val="en-US" w:eastAsia="zh-CN" w:bidi="ar-SA"/>
              </w:rPr>
            </w:pPr>
          </w:p>
        </w:tc>
        <w:tc>
          <w:tcPr>
            <w:tcW w:w="2454" w:type="dxa"/>
            <w:tcBorders>
              <w:top w:val="single" w:color="auto" w:sz="4" w:space="0"/>
              <w:left w:val="single" w:color="auto" w:sz="4" w:space="0"/>
              <w:bottom w:val="single" w:color="auto" w:sz="4" w:space="0"/>
              <w:right w:val="single" w:color="auto" w:sz="4" w:space="0"/>
            </w:tcBorders>
            <w:noWrap w:val="0"/>
            <w:vAlign w:val="center"/>
          </w:tcPr>
          <w:p w14:paraId="70190E19">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color w:val="auto"/>
                <w:sz w:val="24"/>
                <w:szCs w:val="24"/>
                <w:lang w:eastAsia="zh-CN"/>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3C6A1">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094" w:type="dxa"/>
            <w:tcBorders>
              <w:top w:val="single" w:color="auto" w:sz="4" w:space="0"/>
              <w:left w:val="single" w:color="auto" w:sz="4" w:space="0"/>
              <w:bottom w:val="single" w:color="auto" w:sz="4" w:space="0"/>
              <w:right w:val="single" w:color="auto" w:sz="4" w:space="0"/>
            </w:tcBorders>
            <w:noWrap w:val="0"/>
            <w:vAlign w:val="center"/>
          </w:tcPr>
          <w:p w14:paraId="0FFEA53E">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c>
          <w:tcPr>
            <w:tcW w:w="1473" w:type="dxa"/>
            <w:tcBorders>
              <w:top w:val="single" w:color="auto" w:sz="4" w:space="0"/>
              <w:left w:val="single" w:color="auto" w:sz="4" w:space="0"/>
              <w:bottom w:val="single" w:color="auto" w:sz="4" w:space="0"/>
              <w:right w:val="single" w:color="auto" w:sz="12" w:space="0"/>
            </w:tcBorders>
            <w:noWrap w:val="0"/>
            <w:vAlign w:val="center"/>
          </w:tcPr>
          <w:p w14:paraId="5D86E812">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r>
      <w:tr w14:paraId="72152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684" w:type="dxa"/>
            <w:gridSpan w:val="2"/>
            <w:tcBorders>
              <w:top w:val="single" w:color="auto" w:sz="4" w:space="0"/>
              <w:left w:val="single" w:color="auto" w:sz="12" w:space="0"/>
              <w:bottom w:val="single" w:color="auto" w:sz="4" w:space="0"/>
              <w:right w:val="single" w:color="auto" w:sz="4" w:space="0"/>
            </w:tcBorders>
            <w:noWrap w:val="0"/>
            <w:vAlign w:val="center"/>
          </w:tcPr>
          <w:p w14:paraId="49573BAC">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合计报价</w:t>
            </w:r>
          </w:p>
          <w:p w14:paraId="320C48F5">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（大写）</w:t>
            </w:r>
          </w:p>
        </w:tc>
        <w:tc>
          <w:tcPr>
            <w:tcW w:w="6221" w:type="dxa"/>
            <w:gridSpan w:val="4"/>
            <w:tcBorders>
              <w:top w:val="single" w:color="auto" w:sz="4" w:space="0"/>
              <w:left w:val="single" w:color="auto" w:sz="4" w:space="0"/>
              <w:bottom w:val="single" w:color="auto" w:sz="4" w:space="0"/>
              <w:right w:val="single" w:color="auto" w:sz="4" w:space="0"/>
            </w:tcBorders>
            <w:noWrap w:val="0"/>
            <w:vAlign w:val="center"/>
          </w:tcPr>
          <w:p w14:paraId="72800860">
            <w:pPr>
              <w:keepNext/>
              <w:keepLines/>
              <w:pageBreakBefore w:val="0"/>
              <w:widowControl w:val="0"/>
              <w:kinsoku/>
              <w:wordWrap/>
              <w:overflowPunct/>
              <w:topLinePunct w:val="0"/>
              <w:autoSpaceDE/>
              <w:autoSpaceDN/>
              <w:bidi w:val="0"/>
              <w:adjustRightInd/>
              <w:snapToGrid/>
              <w:spacing w:line="280" w:lineRule="exact"/>
              <w:jc w:val="left"/>
              <w:textAlignment w:val="auto"/>
              <w:outlineLvl w:val="1"/>
              <w:rPr>
                <w:rFonts w:hint="eastAsia" w:ascii="仿宋_GB2312" w:hAnsi="仿宋_GB2312" w:eastAsia="仿宋_GB2312" w:cs="仿宋_GB2312"/>
                <w:color w:val="auto"/>
                <w:sz w:val="24"/>
                <w:szCs w:val="24"/>
                <w:lang w:val="en-US" w:eastAsia="zh-CN"/>
              </w:rPr>
            </w:pPr>
          </w:p>
        </w:tc>
        <w:tc>
          <w:tcPr>
            <w:tcW w:w="1473" w:type="dxa"/>
            <w:tcBorders>
              <w:top w:val="single" w:color="auto" w:sz="4" w:space="0"/>
              <w:left w:val="single" w:color="auto" w:sz="4" w:space="0"/>
              <w:bottom w:val="single" w:color="auto" w:sz="4" w:space="0"/>
              <w:right w:val="single" w:color="auto" w:sz="12" w:space="0"/>
            </w:tcBorders>
            <w:noWrap w:val="0"/>
            <w:vAlign w:val="center"/>
          </w:tcPr>
          <w:p w14:paraId="71BE14C7">
            <w:pPr>
              <w:keepNext/>
              <w:keepLines/>
              <w:pageBreakBefore w:val="0"/>
              <w:widowControl w:val="0"/>
              <w:kinsoku/>
              <w:wordWrap/>
              <w:overflowPunct/>
              <w:topLinePunct w:val="0"/>
              <w:autoSpaceDE/>
              <w:autoSpaceDN/>
              <w:bidi w:val="0"/>
              <w:adjustRightInd/>
              <w:snapToGrid/>
              <w:spacing w:line="280" w:lineRule="exact"/>
              <w:jc w:val="center"/>
              <w:textAlignment w:val="auto"/>
              <w:outlineLvl w:val="1"/>
              <w:rPr>
                <w:rFonts w:hint="default" w:ascii="仿宋_GB2312" w:hAnsi="仿宋_GB2312" w:eastAsia="仿宋_GB2312" w:cs="仿宋_GB2312"/>
                <w:color w:val="auto"/>
                <w:sz w:val="24"/>
                <w:szCs w:val="24"/>
                <w:lang w:val="en-US" w:eastAsia="zh-CN"/>
              </w:rPr>
            </w:pPr>
          </w:p>
        </w:tc>
      </w:tr>
    </w:tbl>
    <w:p w14:paraId="073D30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采购内容清单</w:t>
      </w:r>
    </w:p>
    <w:p w14:paraId="719B2692">
      <w:pPr>
        <w:keepNext w:val="0"/>
        <w:keepLines w:val="0"/>
        <w:pageBreakBefore w:val="0"/>
        <w:kinsoku/>
        <w:wordWrap/>
        <w:overflowPunct/>
        <w:topLinePunct w:val="0"/>
        <w:autoSpaceDE/>
        <w:autoSpaceDN/>
        <w:bidi w:val="0"/>
        <w:adjustRightInd w:val="0"/>
        <w:snapToGrid w:val="0"/>
        <w:spacing w:line="52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2、交付的采购内容清单与投标文件所指明的一致。</w:t>
      </w:r>
    </w:p>
    <w:p w14:paraId="27589074">
      <w:pPr>
        <w:keepNext w:val="0"/>
        <w:keepLines w:val="0"/>
        <w:pageBreakBefore w:val="0"/>
        <w:widowControl/>
        <w:kinsoku/>
        <w:wordWrap/>
        <w:overflowPunct/>
        <w:topLinePunct w:val="0"/>
        <w:autoSpaceDE/>
        <w:autoSpaceDN/>
        <w:bidi w:val="0"/>
        <w:adjustRightInd w:val="0"/>
        <w:snapToGrid w:val="0"/>
        <w:spacing w:line="52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第二条 合同价款</w:t>
      </w:r>
    </w:p>
    <w:p w14:paraId="455E1C4D">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1、合同总价为人民币大写：</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元</w:t>
      </w:r>
      <w:r>
        <w:rPr>
          <w:rFonts w:hint="eastAsia" w:ascii="仿宋_GB2312" w:hAnsi="仿宋_GB2312" w:eastAsia="仿宋_GB2312" w:cs="仿宋_GB2312"/>
          <w:color w:val="auto"/>
          <w:sz w:val="30"/>
          <w:szCs w:val="30"/>
        </w:rPr>
        <w:t>，其中</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元。</w:t>
      </w:r>
    </w:p>
    <w:p w14:paraId="1AE72AC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w:t>
      </w:r>
      <w:r>
        <w:rPr>
          <w:rFonts w:hint="eastAsia" w:ascii="仿宋_GB2312" w:hAnsi="仿宋_GB2312" w:eastAsia="仿宋_GB2312" w:cs="仿宋_GB2312"/>
          <w:bCs/>
          <w:color w:val="auto"/>
          <w:sz w:val="30"/>
          <w:szCs w:val="30"/>
        </w:rPr>
        <w:t>合同单价一次包死，不受市场价变化的影响，</w:t>
      </w:r>
      <w:r>
        <w:rPr>
          <w:rFonts w:hint="eastAsia" w:ascii="仿宋_GB2312" w:hAnsi="仿宋_GB2312" w:eastAsia="仿宋_GB2312" w:cs="仿宋_GB2312"/>
          <w:color w:val="auto"/>
          <w:sz w:val="30"/>
          <w:szCs w:val="30"/>
        </w:rPr>
        <w:t>结算时按实际发生量</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据实结算。</w:t>
      </w:r>
    </w:p>
    <w:p w14:paraId="551E8130">
      <w:pPr>
        <w:keepNext w:val="0"/>
        <w:keepLines w:val="0"/>
        <w:pageBreakBefore w:val="0"/>
        <w:widowControl/>
        <w:kinsoku/>
        <w:wordWrap/>
        <w:overflowPunct/>
        <w:topLinePunct w:val="0"/>
        <w:autoSpaceDE/>
        <w:autoSpaceDN/>
        <w:bidi w:val="0"/>
        <w:adjustRightInd w:val="0"/>
        <w:snapToGrid w:val="0"/>
        <w:spacing w:line="53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第三条 货款支付</w:t>
      </w:r>
    </w:p>
    <w:p w14:paraId="27596709">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1、供货合同价款支付方式为：本项目无预付款，采取按双月结算方式。（注：所拨付的合同价款将按实际供应量向供应商支付）。</w:t>
      </w:r>
    </w:p>
    <w:p w14:paraId="71B8F892">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2、乙方须向甲方出具合法有效的完税发票，甲方进行支付结算。</w:t>
      </w:r>
    </w:p>
    <w:p w14:paraId="3F451CA1">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3、结算方式：银行转账。</w:t>
      </w:r>
    </w:p>
    <w:p w14:paraId="3E399EFB">
      <w:pPr>
        <w:keepNext w:val="0"/>
        <w:keepLines w:val="0"/>
        <w:pageBreakBefore w:val="0"/>
        <w:widowControl/>
        <w:kinsoku/>
        <w:wordWrap/>
        <w:overflowPunct/>
        <w:topLinePunct w:val="0"/>
        <w:autoSpaceDE/>
        <w:autoSpaceDN/>
        <w:bidi w:val="0"/>
        <w:adjustRightInd w:val="0"/>
        <w:snapToGrid w:val="0"/>
        <w:spacing w:line="53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第四条 供货期限、地点及配送要求</w:t>
      </w:r>
    </w:p>
    <w:p w14:paraId="45DEE5D7">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乙方在合同签订生效之日起，按甲方指定时间、地点交货。</w:t>
      </w:r>
    </w:p>
    <w:p w14:paraId="473BAC2B">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1、供货期限：</w:t>
      </w:r>
      <w:r>
        <w:rPr>
          <w:rFonts w:hint="eastAsia" w:ascii="仿宋_GB2312" w:hAnsi="仿宋_GB2312" w:eastAsia="仿宋_GB2312" w:cs="仿宋_GB2312"/>
          <w:color w:val="auto"/>
          <w:sz w:val="30"/>
          <w:szCs w:val="30"/>
          <w:lang w:val="en-US" w:eastAsia="zh-CN"/>
        </w:rPr>
        <w:t xml:space="preserve">2026年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日至</w:t>
      </w:r>
      <w:r>
        <w:rPr>
          <w:rFonts w:hint="eastAsia" w:ascii="仿宋_GB2312" w:hAnsi="仿宋_GB2312" w:eastAsia="仿宋_GB2312" w:cs="仿宋_GB2312"/>
          <w:color w:val="auto"/>
          <w:sz w:val="30"/>
          <w:szCs w:val="30"/>
          <w:lang w:val="en-US" w:eastAsia="zh-CN"/>
        </w:rPr>
        <w:t>2026</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日（以学生实际在校时间为准）</w:t>
      </w:r>
    </w:p>
    <w:p w14:paraId="37741842">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2、交货地点：</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指定地点</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如因其他原因供货学校发生变化的，以甲方提前5日通知为准。</w:t>
      </w:r>
    </w:p>
    <w:p w14:paraId="7B5C88C8">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未征得</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同意和谅解而单方面延迟交货，将按违约终止合同。</w:t>
      </w:r>
    </w:p>
    <w:p w14:paraId="5B801BE4">
      <w:pPr>
        <w:keepNext w:val="0"/>
        <w:keepLines w:val="0"/>
        <w:pageBreakBefore w:val="0"/>
        <w:kinsoku/>
        <w:wordWrap/>
        <w:overflowPunct/>
        <w:topLinePunct w:val="0"/>
        <w:autoSpaceDE/>
        <w:autoSpaceDN/>
        <w:bidi w:val="0"/>
        <w:adjustRightInd w:val="0"/>
        <w:snapToGrid w:val="0"/>
        <w:spacing w:line="53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rPr>
        <w:t>4、</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遇到可能妨碍按时交付和提供服务的情况，应当及时以书面形式通知</w:t>
      </w:r>
      <w:r>
        <w:rPr>
          <w:rFonts w:hint="eastAsia" w:ascii="仿宋_GB2312" w:hAnsi="仿宋_GB2312" w:eastAsia="仿宋_GB2312" w:cs="仿宋_GB2312"/>
          <w:color w:val="auto"/>
          <w:sz w:val="30"/>
          <w:szCs w:val="30"/>
          <w:lang w:val="en-US" w:eastAsia="zh-CN"/>
        </w:rPr>
        <w:t>甲方</w:t>
      </w:r>
      <w:r>
        <w:rPr>
          <w:rFonts w:hint="eastAsia" w:ascii="仿宋_GB2312" w:hAnsi="仿宋_GB2312" w:eastAsia="仿宋_GB2312" w:cs="仿宋_GB2312"/>
          <w:color w:val="auto"/>
          <w:sz w:val="30"/>
          <w:szCs w:val="30"/>
        </w:rPr>
        <w:t>，说明原由、拖延的期限等；</w:t>
      </w:r>
      <w:r>
        <w:rPr>
          <w:rFonts w:hint="eastAsia" w:ascii="仿宋_GB2312" w:hAnsi="仿宋_GB2312" w:eastAsia="仿宋_GB2312" w:cs="仿宋_GB2312"/>
          <w:color w:val="auto"/>
          <w:sz w:val="30"/>
          <w:szCs w:val="30"/>
          <w:lang w:val="en-US" w:eastAsia="zh-CN"/>
        </w:rPr>
        <w:t>甲方</w:t>
      </w:r>
      <w:r>
        <w:rPr>
          <w:rFonts w:hint="eastAsia" w:ascii="仿宋_GB2312" w:hAnsi="仿宋_GB2312" w:eastAsia="仿宋_GB2312" w:cs="仿宋_GB2312"/>
          <w:color w:val="auto"/>
          <w:sz w:val="30"/>
          <w:szCs w:val="30"/>
        </w:rPr>
        <w:t>在收到通知后，尽快进行情况评估并确定是否通过修改合同，酌情延长交货时</w:t>
      </w:r>
      <w:r>
        <w:rPr>
          <w:rFonts w:hint="eastAsia" w:ascii="仿宋_GB2312" w:hAnsi="仿宋_GB2312" w:eastAsia="仿宋_GB2312" w:cs="仿宋_GB2312"/>
          <w:color w:val="auto"/>
          <w:sz w:val="30"/>
          <w:szCs w:val="30"/>
          <w:highlight w:val="none"/>
        </w:rPr>
        <w:t>间或者通过协商加收误期赔偿金。</w:t>
      </w:r>
    </w:p>
    <w:p w14:paraId="30AD3C3A">
      <w:pPr>
        <w:keepNext w:val="0"/>
        <w:keepLines w:val="0"/>
        <w:pageBreakBefore w:val="0"/>
        <w:kinsoku/>
        <w:wordWrap/>
        <w:overflowPunct/>
        <w:topLinePunct w:val="0"/>
        <w:autoSpaceDE/>
        <w:autoSpaceDN/>
        <w:bidi w:val="0"/>
        <w:spacing w:line="520" w:lineRule="exact"/>
        <w:ind w:firstLine="600" w:firstLineChars="200"/>
        <w:textAlignment w:val="auto"/>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rPr>
        <w:t>5、</w:t>
      </w:r>
      <w:r>
        <w:rPr>
          <w:rFonts w:hint="eastAsia" w:ascii="仿宋_GB2312" w:hAnsi="仿宋_GB2312" w:eastAsia="仿宋_GB2312" w:cs="仿宋_GB2312"/>
          <w:color w:val="auto"/>
          <w:sz w:val="30"/>
          <w:szCs w:val="30"/>
          <w:highlight w:val="none"/>
          <w:lang w:val="en-US" w:eastAsia="zh-CN"/>
        </w:rPr>
        <w:t>乙方和使用单位在市场食材价格波动较大时，在遵循统一食谱的同时，可适当调整部分食材，双方要严格按照学校实际在校人数，科学精准核算每天供货食材，做到日清、周总、月平衡，不得超支，超量配送。</w:t>
      </w:r>
    </w:p>
    <w:p w14:paraId="24A76E7D">
      <w:pPr>
        <w:keepNext w:val="0"/>
        <w:keepLines w:val="0"/>
        <w:pageBreakBefore w:val="0"/>
        <w:kinsoku/>
        <w:wordWrap/>
        <w:overflowPunct/>
        <w:topLinePunct w:val="0"/>
        <w:autoSpaceDE/>
        <w:autoSpaceDN/>
        <w:bidi w:val="0"/>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配送要求：</w:t>
      </w:r>
      <w:r>
        <w:rPr>
          <w:rFonts w:hint="eastAsia" w:ascii="仿宋_GB2312" w:hAnsi="仿宋_GB2312" w:eastAsia="仿宋_GB2312" w:cs="仿宋_GB2312"/>
          <w:b/>
          <w:color w:val="auto"/>
          <w:sz w:val="30"/>
          <w:szCs w:val="30"/>
          <w:highlight w:val="none"/>
        </w:rPr>
        <w:t>每两周配送1次（规模大的学校和规模小的学校可协商供货到校具体供货时限），</w:t>
      </w:r>
      <w:r>
        <w:rPr>
          <w:rFonts w:hint="eastAsia" w:ascii="仿宋_GB2312" w:hAnsi="仿宋_GB2312" w:eastAsia="仿宋_GB2312" w:cs="仿宋_GB2312"/>
          <w:color w:val="auto"/>
          <w:sz w:val="30"/>
          <w:szCs w:val="30"/>
        </w:rPr>
        <w:t>乙方根据甲方提供的每次配送数量于每两周的前两天用厢式货车送指定学校，学校负责查验配送货物的数量</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规格、</w:t>
      </w:r>
      <w:r>
        <w:rPr>
          <w:rFonts w:hint="eastAsia" w:ascii="仿宋_GB2312" w:hAnsi="仿宋_GB2312" w:eastAsia="仿宋_GB2312" w:cs="仿宋_GB2312"/>
          <w:color w:val="auto"/>
          <w:sz w:val="30"/>
          <w:szCs w:val="30"/>
        </w:rPr>
        <w:t>质量</w:t>
      </w:r>
      <w:r>
        <w:rPr>
          <w:rFonts w:hint="eastAsia" w:ascii="仿宋_GB2312" w:hAnsi="仿宋_GB2312" w:eastAsia="仿宋_GB2312" w:cs="仿宋_GB2312"/>
          <w:color w:val="auto"/>
          <w:sz w:val="30"/>
          <w:szCs w:val="30"/>
          <w:lang w:val="en-US" w:eastAsia="zh-CN"/>
        </w:rPr>
        <w:t>及保质期等</w:t>
      </w:r>
      <w:r>
        <w:rPr>
          <w:rFonts w:hint="eastAsia" w:ascii="仿宋_GB2312" w:hAnsi="仿宋_GB2312" w:eastAsia="仿宋_GB2312" w:cs="仿宋_GB2312"/>
          <w:color w:val="auto"/>
          <w:sz w:val="30"/>
          <w:szCs w:val="30"/>
        </w:rPr>
        <w:t>。</w:t>
      </w:r>
    </w:p>
    <w:p w14:paraId="488787DA">
      <w:pPr>
        <w:keepNext w:val="0"/>
        <w:keepLines w:val="0"/>
        <w:pageBreakBefore w:val="0"/>
        <w:widowControl/>
        <w:kinsoku/>
        <w:wordWrap/>
        <w:overflowPunct/>
        <w:topLinePunct w:val="0"/>
        <w:autoSpaceDE/>
        <w:autoSpaceDN/>
        <w:bidi w:val="0"/>
        <w:adjustRightInd w:val="0"/>
        <w:snapToGrid w:val="0"/>
        <w:spacing w:line="52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第五条 质量保证</w:t>
      </w:r>
    </w:p>
    <w:p w14:paraId="4B6C2B02">
      <w:pPr>
        <w:keepNext w:val="0"/>
        <w:keepLines w:val="0"/>
        <w:pageBreakBefore w:val="0"/>
        <w:kinsoku/>
        <w:wordWrap/>
        <w:overflowPunct/>
        <w:topLinePunct w:val="0"/>
        <w:autoSpaceDE/>
        <w:autoSpaceDN/>
        <w:bidi w:val="0"/>
        <w:adjustRightInd w:val="0"/>
        <w:snapToGrid w:val="0"/>
        <w:spacing w:line="52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highlight w:val="none"/>
        </w:rPr>
        <w:t>乙方须提供外</w:t>
      </w:r>
      <w:r>
        <w:rPr>
          <w:rFonts w:hint="eastAsia" w:ascii="仿宋_GB2312" w:hAnsi="仿宋_GB2312" w:eastAsia="仿宋_GB2312" w:cs="仿宋_GB2312"/>
          <w:b/>
          <w:bCs/>
          <w:color w:val="auto"/>
          <w:sz w:val="30"/>
          <w:szCs w:val="30"/>
          <w:highlight w:val="none"/>
          <w:u w:val="single"/>
        </w:rPr>
        <w:t>包装完好无损、无杂质、无污染、商标图案清晰、有生产日期、无霉变情况，保质期符合国家标准要求；因运输装卸过程中造成的损耗（例如包装严重变形、破损、食品污染、变异等）、发现的破损、变异食品必须无条件一对一更换</w:t>
      </w:r>
      <w:r>
        <w:rPr>
          <w:rFonts w:hint="eastAsia" w:ascii="仿宋_GB2312" w:hAnsi="仿宋_GB2312" w:eastAsia="仿宋_GB2312" w:cs="仿宋_GB2312"/>
          <w:color w:val="auto"/>
          <w:sz w:val="30"/>
          <w:szCs w:val="30"/>
          <w:highlight w:val="none"/>
        </w:rPr>
        <w:t>。</w:t>
      </w:r>
    </w:p>
    <w:p w14:paraId="7BEF1292">
      <w:pPr>
        <w:keepNext w:val="0"/>
        <w:keepLines w:val="0"/>
        <w:pageBreakBefore w:val="0"/>
        <w:widowControl/>
        <w:suppressLineNumbers w:val="0"/>
        <w:kinsoku/>
        <w:wordWrap/>
        <w:overflowPunct/>
        <w:topLinePunct w:val="0"/>
        <w:autoSpaceDE/>
        <w:autoSpaceDN/>
        <w:bidi w:val="0"/>
        <w:adjustRightInd/>
        <w:snapToGrid/>
        <w:spacing w:line="500" w:lineRule="exact"/>
        <w:ind w:firstLine="600" w:firstLineChars="200"/>
        <w:jc w:val="left"/>
        <w:textAlignment w:val="auto"/>
        <w:rPr>
          <w:rFonts w:hint="eastAsia" w:ascii="仿宋_GB2312" w:hAnsi="仿宋_GB2312" w:eastAsia="仿宋_GB2312" w:cs="仿宋_GB2312"/>
          <w:color w:val="auto"/>
          <w:kern w:val="0"/>
          <w:sz w:val="30"/>
          <w:szCs w:val="30"/>
          <w:lang w:val="en-US" w:eastAsia="zh-CN" w:bidi="ar"/>
        </w:rPr>
      </w:pPr>
      <w:r>
        <w:rPr>
          <w:rFonts w:hint="eastAsia" w:ascii="仿宋_GB2312" w:hAnsi="仿宋_GB2312" w:eastAsia="仿宋_GB2312" w:cs="仿宋_GB2312"/>
          <w:color w:val="auto"/>
          <w:kern w:val="0"/>
          <w:sz w:val="30"/>
          <w:szCs w:val="30"/>
          <w:lang w:val="en-US" w:eastAsia="zh-CN" w:bidi="ar"/>
        </w:rPr>
        <w:t>（1）大米：规格型号，大于等于25kg/袋，独立包装，质量符合国家标准GB/T1354-2018一级标准要求（提供有资质的检测单位出具的半年内检验报告，同时提供每个批次生产厂家的自检证明）；便于运输、储存，外包装必须符合GB7718-2011《食品安全国家标准 预包装食品标签通则》，且为非转基因大米。</w:t>
      </w:r>
    </w:p>
    <w:p w14:paraId="7C5D3F08">
      <w:pPr>
        <w:keepNext w:val="0"/>
        <w:keepLines w:val="0"/>
        <w:pageBreakBefore w:val="0"/>
        <w:widowControl/>
        <w:suppressLineNumbers w:val="0"/>
        <w:kinsoku/>
        <w:wordWrap/>
        <w:overflowPunct/>
        <w:topLinePunct w:val="0"/>
        <w:autoSpaceDE/>
        <w:autoSpaceDN/>
        <w:bidi w:val="0"/>
        <w:adjustRightInd/>
        <w:snapToGrid/>
        <w:spacing w:line="500" w:lineRule="exact"/>
        <w:ind w:firstLine="300" w:firstLineChars="100"/>
        <w:jc w:val="left"/>
        <w:textAlignment w:val="auto"/>
        <w:rPr>
          <w:rFonts w:hint="eastAsia" w:ascii="仿宋_GB2312" w:hAnsi="仿宋_GB2312" w:eastAsia="仿宋_GB2312" w:cs="仿宋_GB2312"/>
          <w:color w:val="auto"/>
          <w:kern w:val="0"/>
          <w:sz w:val="30"/>
          <w:szCs w:val="30"/>
          <w:lang w:val="en-US" w:eastAsia="zh-CN" w:bidi="ar"/>
        </w:rPr>
      </w:pPr>
      <w:r>
        <w:rPr>
          <w:rFonts w:hint="eastAsia" w:ascii="仿宋_GB2312" w:hAnsi="仿宋_GB2312" w:eastAsia="仿宋_GB2312" w:cs="仿宋_GB2312"/>
          <w:color w:val="auto"/>
          <w:kern w:val="0"/>
          <w:sz w:val="30"/>
          <w:szCs w:val="30"/>
          <w:lang w:val="en-US" w:eastAsia="zh-CN" w:bidi="ar"/>
        </w:rPr>
        <w:t>（2）小米：规格型号，大于等于5kg/袋，产地为陕北，独立包装，质量符合国家标准GB/T11766-2008一级标准要求（提供有资质的检测单位出具的半年内检验报告，同时提供每个批次生产厂家的自检证明）；便于运输、储存，外包装必须符合GB7718-2011《食品安全国家标准 预包装食品标签通则》，且为非转基因小米。</w:t>
      </w:r>
    </w:p>
    <w:p w14:paraId="1D6E2553">
      <w:pPr>
        <w:keepNext w:val="0"/>
        <w:keepLines w:val="0"/>
        <w:pageBreakBefore w:val="0"/>
        <w:widowControl/>
        <w:suppressLineNumbers w:val="0"/>
        <w:kinsoku/>
        <w:wordWrap/>
        <w:overflowPunct/>
        <w:topLinePunct w:val="0"/>
        <w:autoSpaceDE/>
        <w:autoSpaceDN/>
        <w:bidi w:val="0"/>
        <w:adjustRightInd/>
        <w:snapToGrid/>
        <w:spacing w:line="510" w:lineRule="exact"/>
        <w:ind w:firstLine="600" w:firstLineChars="200"/>
        <w:jc w:val="left"/>
        <w:textAlignment w:val="auto"/>
        <w:rPr>
          <w:rFonts w:hint="eastAsia" w:ascii="仿宋_GB2312" w:hAnsi="仿宋_GB2312" w:eastAsia="仿宋_GB2312" w:cs="仿宋_GB2312"/>
          <w:color w:val="auto"/>
          <w:kern w:val="0"/>
          <w:sz w:val="30"/>
          <w:szCs w:val="30"/>
          <w:lang w:val="en-US" w:eastAsia="zh-CN" w:bidi="ar"/>
        </w:rPr>
      </w:pPr>
      <w:r>
        <w:rPr>
          <w:rFonts w:hint="eastAsia" w:ascii="仿宋_GB2312" w:hAnsi="仿宋_GB2312" w:eastAsia="仿宋_GB2312" w:cs="仿宋_GB2312"/>
          <w:color w:val="auto"/>
          <w:kern w:val="0"/>
          <w:sz w:val="30"/>
          <w:szCs w:val="30"/>
          <w:lang w:val="en-US" w:eastAsia="zh-CN" w:bidi="ar"/>
        </w:rPr>
        <w:t>（3）小麦粉：规格型号，大于等于25kg/袋，独立包装，质量符合国家标准GB/T1355-2021精制粉标准要求（提供有资质的检测单位出具的半年内检验报告，同时提供每个批次生产厂家的自检证明）；便于运输、储存，外包装必须符合GB7718-2011《食品安全国家标准 预包装食品标签通则》，且为非转基因小麦粉。</w:t>
      </w:r>
    </w:p>
    <w:p w14:paraId="6B486C35">
      <w:pPr>
        <w:keepNext w:val="0"/>
        <w:keepLines w:val="0"/>
        <w:pageBreakBefore w:val="0"/>
        <w:widowControl/>
        <w:suppressLineNumbers w:val="0"/>
        <w:kinsoku/>
        <w:wordWrap/>
        <w:overflowPunct/>
        <w:topLinePunct w:val="0"/>
        <w:autoSpaceDE/>
        <w:autoSpaceDN/>
        <w:bidi w:val="0"/>
        <w:adjustRightInd/>
        <w:snapToGrid/>
        <w:spacing w:line="510" w:lineRule="exact"/>
        <w:ind w:firstLine="600" w:firstLineChars="200"/>
        <w:jc w:val="left"/>
        <w:textAlignment w:val="auto"/>
        <w:rPr>
          <w:rFonts w:hint="eastAsia" w:ascii="仿宋_GB2312" w:hAnsi="仿宋_GB2312" w:eastAsia="仿宋_GB2312" w:cs="仿宋_GB2312"/>
          <w:color w:val="auto"/>
          <w:kern w:val="0"/>
          <w:sz w:val="30"/>
          <w:szCs w:val="30"/>
          <w:lang w:val="en-US" w:eastAsia="zh-CN" w:bidi="ar"/>
        </w:rPr>
      </w:pPr>
      <w:r>
        <w:rPr>
          <w:rFonts w:hint="eastAsia" w:ascii="仿宋_GB2312" w:hAnsi="仿宋_GB2312" w:eastAsia="仿宋_GB2312" w:cs="仿宋_GB2312"/>
          <w:color w:val="auto"/>
          <w:kern w:val="0"/>
          <w:sz w:val="30"/>
          <w:szCs w:val="30"/>
          <w:lang w:val="en-US" w:eastAsia="zh-CN" w:bidi="ar"/>
        </w:rPr>
        <w:t>（4）荞麦粉：规格型号，大于等于2.5kg/袋，独立包装，质量符合国家标准GB/T35028-2018标准要求（提供有资质的检测单位出具的半年内检验报告，同时提供每个批次生产厂家的自检证明）；便于运输、储存，外包装必须符合GB7718-2011《食品安全国家标准 预包装食品标签通则》。</w:t>
      </w:r>
    </w:p>
    <w:p w14:paraId="24F990E7">
      <w:pPr>
        <w:keepNext w:val="0"/>
        <w:keepLines w:val="0"/>
        <w:pageBreakBefore w:val="0"/>
        <w:widowControl/>
        <w:suppressLineNumbers w:val="0"/>
        <w:kinsoku/>
        <w:wordWrap/>
        <w:overflowPunct/>
        <w:topLinePunct w:val="0"/>
        <w:autoSpaceDE/>
        <w:autoSpaceDN/>
        <w:bidi w:val="0"/>
        <w:adjustRightInd/>
        <w:snapToGrid/>
        <w:spacing w:line="510" w:lineRule="exact"/>
        <w:ind w:firstLine="600" w:firstLineChars="200"/>
        <w:jc w:val="left"/>
        <w:textAlignment w:val="auto"/>
        <w:rPr>
          <w:rFonts w:hint="eastAsia" w:ascii="仿宋_GB2312" w:hAnsi="仿宋_GB2312" w:eastAsia="仿宋_GB2312" w:cs="仿宋_GB2312"/>
          <w:color w:val="auto"/>
          <w:kern w:val="0"/>
          <w:sz w:val="30"/>
          <w:szCs w:val="30"/>
          <w:lang w:val="en-US" w:eastAsia="zh-CN" w:bidi="ar"/>
        </w:rPr>
      </w:pPr>
      <w:r>
        <w:rPr>
          <w:rFonts w:hint="eastAsia" w:ascii="仿宋_GB2312" w:hAnsi="仿宋_GB2312" w:eastAsia="仿宋_GB2312" w:cs="仿宋_GB2312"/>
          <w:color w:val="auto"/>
          <w:kern w:val="0"/>
          <w:sz w:val="30"/>
          <w:szCs w:val="30"/>
          <w:lang w:val="en-US" w:eastAsia="zh-CN" w:bidi="ar"/>
        </w:rPr>
        <w:t>（5）菜籽油：规格型号，大于等于5L/桶，独立包装，质量符合国家标准GB/T1536-2021一级标准要求，非转基因，压榨食用油（提供有资质的检测单位出具的半年内检验报告，同时提供每个批次生产厂家的自检证明）；便于运输、储存，外包装必须符合GB7718-2011《食品安全国家标准 预包装食品标签通则》。</w:t>
      </w:r>
    </w:p>
    <w:p w14:paraId="6CFEFE24">
      <w:pPr>
        <w:keepNext w:val="0"/>
        <w:keepLines w:val="0"/>
        <w:pageBreakBefore w:val="0"/>
        <w:widowControl/>
        <w:suppressLineNumbers w:val="0"/>
        <w:kinsoku/>
        <w:wordWrap/>
        <w:overflowPunct/>
        <w:topLinePunct w:val="0"/>
        <w:autoSpaceDE/>
        <w:autoSpaceDN/>
        <w:bidi w:val="0"/>
        <w:adjustRightInd/>
        <w:snapToGrid/>
        <w:spacing w:line="510" w:lineRule="exact"/>
        <w:ind w:firstLine="600" w:firstLineChars="200"/>
        <w:jc w:val="left"/>
        <w:textAlignment w:val="auto"/>
        <w:rPr>
          <w:rFonts w:hint="eastAsia" w:ascii="仿宋_GB2312" w:hAnsi="仿宋_GB2312" w:eastAsia="仿宋_GB2312" w:cs="仿宋_GB2312"/>
          <w:color w:val="auto"/>
          <w:kern w:val="0"/>
          <w:sz w:val="30"/>
          <w:szCs w:val="30"/>
          <w:lang w:val="en-US" w:eastAsia="zh-CN" w:bidi="ar"/>
        </w:rPr>
      </w:pPr>
      <w:r>
        <w:rPr>
          <w:rFonts w:hint="eastAsia" w:ascii="仿宋_GB2312" w:hAnsi="仿宋_GB2312" w:eastAsia="仿宋_GB2312" w:cs="仿宋_GB2312"/>
          <w:color w:val="auto"/>
          <w:kern w:val="0"/>
          <w:sz w:val="30"/>
          <w:szCs w:val="30"/>
          <w:lang w:val="en-US" w:eastAsia="zh-CN" w:bidi="ar"/>
        </w:rPr>
        <w:t>以上五种食材优先考虑“放心粮油”供应网点经营品种，每批次配送提供留样一份。严格按照甲方要求配送到指定学校，每两周配送一次，全年按照200天计算，具体供货天数和人数以实际为准，据实结算。</w:t>
      </w:r>
    </w:p>
    <w:p w14:paraId="70B32AC5">
      <w:pPr>
        <w:keepNext w:val="0"/>
        <w:keepLines w:val="0"/>
        <w:pageBreakBefore w:val="0"/>
        <w:widowControl w:val="0"/>
        <w:numPr>
          <w:ilvl w:val="0"/>
          <w:numId w:val="0"/>
        </w:numPr>
        <w:kinsoku/>
        <w:wordWrap/>
        <w:overflowPunct/>
        <w:topLinePunct w:val="0"/>
        <w:autoSpaceDE/>
        <w:autoSpaceDN/>
        <w:bidi w:val="0"/>
        <w:adjustRightInd w:val="0"/>
        <w:snapToGrid w:val="0"/>
        <w:spacing w:line="510" w:lineRule="exact"/>
        <w:ind w:firstLine="600" w:firstLineChars="200"/>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2、供货产品到货时该产品的有效期不得低于该产品整体有效期的三分之二。</w:t>
      </w:r>
    </w:p>
    <w:p w14:paraId="599D42D2">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3、保质期出现的质量问题由</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负责解决并承担所有费用。</w:t>
      </w:r>
    </w:p>
    <w:p w14:paraId="74B28BFC">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4、如发生食品安全事故，并造成实际伤害及损失，将由</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承担全部责任。</w:t>
      </w:r>
    </w:p>
    <w:p w14:paraId="573A2FBA">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5、</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不得擅自调换所投产品以外的产品进行供应，否则取消供货资格。</w:t>
      </w:r>
    </w:p>
    <w:p w14:paraId="6078D7AA">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6、</w:t>
      </w:r>
      <w:r>
        <w:rPr>
          <w:rFonts w:hint="eastAsia" w:ascii="仿宋_GB2312" w:hAnsi="仿宋_GB2312" w:eastAsia="仿宋_GB2312" w:cs="仿宋_GB2312"/>
          <w:b w:val="0"/>
          <w:bCs/>
          <w:color w:val="auto"/>
          <w:sz w:val="30"/>
          <w:szCs w:val="30"/>
          <w:lang w:val="en-US" w:eastAsia="zh-CN"/>
        </w:rPr>
        <w:t>乙方</w:t>
      </w:r>
      <w:r>
        <w:rPr>
          <w:rFonts w:hint="eastAsia" w:ascii="仿宋_GB2312" w:hAnsi="仿宋_GB2312" w:eastAsia="仿宋_GB2312" w:cs="仿宋_GB2312"/>
          <w:b w:val="0"/>
          <w:bCs/>
          <w:color w:val="auto"/>
          <w:sz w:val="30"/>
          <w:szCs w:val="30"/>
        </w:rPr>
        <w:t>应严格遵守《</w:t>
      </w:r>
      <w:r>
        <w:rPr>
          <w:rFonts w:hint="eastAsia" w:ascii="仿宋_GB2312" w:hAnsi="仿宋_GB2312" w:eastAsia="仿宋_GB2312" w:cs="仿宋_GB2312"/>
          <w:b w:val="0"/>
          <w:bCs/>
          <w:color w:val="auto"/>
          <w:sz w:val="30"/>
          <w:szCs w:val="30"/>
          <w:lang w:eastAsia="zh-CN"/>
        </w:rPr>
        <w:t>中华人民共和国食品安全法</w:t>
      </w:r>
      <w:r>
        <w:rPr>
          <w:rFonts w:hint="eastAsia" w:ascii="仿宋_GB2312" w:hAnsi="仿宋_GB2312" w:eastAsia="仿宋_GB2312" w:cs="仿宋_GB2312"/>
          <w:b w:val="0"/>
          <w:bCs/>
          <w:color w:val="auto"/>
          <w:sz w:val="30"/>
          <w:szCs w:val="30"/>
        </w:rPr>
        <w:t>》和《动物检疫法》等相关规定，必须供应本次招标指定的产品，并保证产品质量，一经发现供应以下食品，除全部退货外，将取消供货单位的供货资格，供货单位并承担由此造成的全部经济责任和法律责任：</w:t>
      </w:r>
    </w:p>
    <w:p w14:paraId="2D1FF02B">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color w:val="auto"/>
          <w:kern w:val="0"/>
          <w:sz w:val="30"/>
          <w:szCs w:val="30"/>
          <w:lang w:val="en-US" w:eastAsia="zh-CN" w:bidi="ar"/>
        </w:rPr>
        <w:t>（</w:t>
      </w:r>
      <w:r>
        <w:rPr>
          <w:rFonts w:hint="eastAsia" w:ascii="仿宋_GB2312" w:hAnsi="仿宋_GB2312" w:eastAsia="仿宋_GB2312" w:cs="仿宋_GB2312"/>
          <w:b w:val="0"/>
          <w:bCs/>
          <w:color w:val="auto"/>
          <w:sz w:val="30"/>
          <w:szCs w:val="30"/>
        </w:rPr>
        <w:t>1</w:t>
      </w:r>
      <w:r>
        <w:rPr>
          <w:rFonts w:hint="eastAsia" w:ascii="仿宋_GB2312" w:hAnsi="仿宋_GB2312" w:eastAsia="仿宋_GB2312" w:cs="仿宋_GB2312"/>
          <w:b w:val="0"/>
          <w:bCs/>
          <w:color w:val="auto"/>
          <w:sz w:val="30"/>
          <w:szCs w:val="30"/>
          <w:lang w:eastAsia="zh-CN"/>
        </w:rPr>
        <w:t>）</w:t>
      </w:r>
      <w:r>
        <w:rPr>
          <w:rFonts w:hint="eastAsia" w:ascii="仿宋_GB2312" w:hAnsi="仿宋_GB2312" w:eastAsia="仿宋_GB2312" w:cs="仿宋_GB2312"/>
          <w:b w:val="0"/>
          <w:bCs/>
          <w:color w:val="auto"/>
          <w:sz w:val="30"/>
          <w:szCs w:val="30"/>
        </w:rPr>
        <w:t>腐败变质、油脂酸败、霉变、生虫、污秽不洁、混有异物或者其他感官性状异常，对人体健康有害的；</w:t>
      </w:r>
    </w:p>
    <w:p w14:paraId="052533A4">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color w:val="auto"/>
          <w:kern w:val="0"/>
          <w:sz w:val="30"/>
          <w:szCs w:val="30"/>
          <w:lang w:val="en-US" w:eastAsia="zh-CN" w:bidi="ar"/>
        </w:rPr>
        <w:t>（</w:t>
      </w:r>
      <w:r>
        <w:rPr>
          <w:rFonts w:hint="eastAsia" w:ascii="仿宋_GB2312" w:hAnsi="仿宋_GB2312" w:eastAsia="仿宋_GB2312" w:cs="仿宋_GB2312"/>
          <w:b w:val="0"/>
          <w:bCs/>
          <w:color w:val="auto"/>
          <w:sz w:val="30"/>
          <w:szCs w:val="30"/>
        </w:rPr>
        <w:t>2</w:t>
      </w:r>
      <w:r>
        <w:rPr>
          <w:rFonts w:hint="eastAsia" w:ascii="仿宋_GB2312" w:hAnsi="仿宋_GB2312" w:eastAsia="仿宋_GB2312" w:cs="仿宋_GB2312"/>
          <w:b w:val="0"/>
          <w:bCs/>
          <w:color w:val="auto"/>
          <w:sz w:val="30"/>
          <w:szCs w:val="30"/>
          <w:lang w:eastAsia="zh-CN"/>
        </w:rPr>
        <w:t>）</w:t>
      </w:r>
      <w:r>
        <w:rPr>
          <w:rFonts w:hint="eastAsia" w:ascii="仿宋_GB2312" w:hAnsi="仿宋_GB2312" w:eastAsia="仿宋_GB2312" w:cs="仿宋_GB2312"/>
          <w:b w:val="0"/>
          <w:bCs/>
          <w:color w:val="auto"/>
          <w:sz w:val="30"/>
          <w:szCs w:val="30"/>
        </w:rPr>
        <w:t>含有毒、有害物质或者被有害物质污染，对人体健康有害的；</w:t>
      </w:r>
    </w:p>
    <w:p w14:paraId="1ED7058C">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color w:val="auto"/>
          <w:kern w:val="0"/>
          <w:sz w:val="30"/>
          <w:szCs w:val="30"/>
          <w:lang w:val="en-US" w:eastAsia="zh-CN" w:bidi="ar"/>
        </w:rPr>
        <w:t>（</w:t>
      </w:r>
      <w:r>
        <w:rPr>
          <w:rFonts w:hint="eastAsia" w:ascii="仿宋_GB2312" w:hAnsi="仿宋_GB2312" w:eastAsia="仿宋_GB2312" w:cs="仿宋_GB2312"/>
          <w:b w:val="0"/>
          <w:bCs/>
          <w:color w:val="auto"/>
          <w:sz w:val="30"/>
          <w:szCs w:val="30"/>
        </w:rPr>
        <w:t>3</w:t>
      </w:r>
      <w:r>
        <w:rPr>
          <w:rFonts w:hint="eastAsia" w:ascii="仿宋_GB2312" w:hAnsi="仿宋_GB2312" w:eastAsia="仿宋_GB2312" w:cs="仿宋_GB2312"/>
          <w:b w:val="0"/>
          <w:bCs/>
          <w:color w:val="auto"/>
          <w:sz w:val="30"/>
          <w:szCs w:val="30"/>
          <w:lang w:eastAsia="zh-CN"/>
        </w:rPr>
        <w:t>）</w:t>
      </w:r>
      <w:r>
        <w:rPr>
          <w:rFonts w:hint="eastAsia" w:ascii="仿宋_GB2312" w:hAnsi="仿宋_GB2312" w:eastAsia="仿宋_GB2312" w:cs="仿宋_GB2312"/>
          <w:b w:val="0"/>
          <w:bCs/>
          <w:color w:val="auto"/>
          <w:sz w:val="30"/>
          <w:szCs w:val="30"/>
        </w:rPr>
        <w:t>含有致病性寄生虫、微生物或者微生物含量超过国家限定标准的；</w:t>
      </w:r>
    </w:p>
    <w:p w14:paraId="71FBE7D9">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color w:val="auto"/>
          <w:kern w:val="0"/>
          <w:sz w:val="30"/>
          <w:szCs w:val="30"/>
          <w:lang w:val="en-US" w:eastAsia="zh-CN" w:bidi="ar"/>
        </w:rPr>
        <w:t>（</w:t>
      </w:r>
      <w:r>
        <w:rPr>
          <w:rFonts w:hint="eastAsia" w:ascii="仿宋_GB2312" w:hAnsi="仿宋_GB2312" w:eastAsia="仿宋_GB2312" w:cs="仿宋_GB2312"/>
          <w:b w:val="0"/>
          <w:bCs/>
          <w:color w:val="auto"/>
          <w:sz w:val="30"/>
          <w:szCs w:val="30"/>
        </w:rPr>
        <w:t>4</w:t>
      </w:r>
      <w:r>
        <w:rPr>
          <w:rFonts w:hint="eastAsia" w:ascii="仿宋_GB2312" w:hAnsi="仿宋_GB2312" w:eastAsia="仿宋_GB2312" w:cs="仿宋_GB2312"/>
          <w:b w:val="0"/>
          <w:bCs/>
          <w:color w:val="auto"/>
          <w:sz w:val="30"/>
          <w:szCs w:val="30"/>
          <w:lang w:eastAsia="zh-CN"/>
        </w:rPr>
        <w:t>）</w:t>
      </w:r>
      <w:r>
        <w:rPr>
          <w:rFonts w:hint="eastAsia" w:ascii="仿宋_GB2312" w:hAnsi="仿宋_GB2312" w:eastAsia="仿宋_GB2312" w:cs="仿宋_GB2312"/>
          <w:b w:val="0"/>
          <w:bCs/>
          <w:color w:val="auto"/>
          <w:sz w:val="30"/>
          <w:szCs w:val="30"/>
        </w:rPr>
        <w:t>掺假、掺杂、伪造，影响营养、卫生的；</w:t>
      </w:r>
    </w:p>
    <w:p w14:paraId="49E085F3">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color w:val="auto"/>
          <w:kern w:val="0"/>
          <w:sz w:val="30"/>
          <w:szCs w:val="30"/>
          <w:lang w:val="en-US" w:eastAsia="zh-CN" w:bidi="ar"/>
        </w:rPr>
        <w:t>（</w:t>
      </w:r>
      <w:r>
        <w:rPr>
          <w:rFonts w:hint="eastAsia" w:ascii="仿宋_GB2312" w:hAnsi="仿宋_GB2312" w:eastAsia="仿宋_GB2312" w:cs="仿宋_GB2312"/>
          <w:b w:val="0"/>
          <w:bCs/>
          <w:color w:val="auto"/>
          <w:sz w:val="30"/>
          <w:szCs w:val="30"/>
        </w:rPr>
        <w:t>5</w:t>
      </w:r>
      <w:r>
        <w:rPr>
          <w:rFonts w:hint="eastAsia" w:ascii="仿宋_GB2312" w:hAnsi="仿宋_GB2312" w:eastAsia="仿宋_GB2312" w:cs="仿宋_GB2312"/>
          <w:b w:val="0"/>
          <w:bCs/>
          <w:color w:val="auto"/>
          <w:sz w:val="30"/>
          <w:szCs w:val="30"/>
          <w:lang w:eastAsia="zh-CN"/>
        </w:rPr>
        <w:t>）</w:t>
      </w:r>
      <w:r>
        <w:rPr>
          <w:rFonts w:hint="eastAsia" w:ascii="仿宋_GB2312" w:hAnsi="仿宋_GB2312" w:eastAsia="仿宋_GB2312" w:cs="仿宋_GB2312"/>
          <w:b w:val="0"/>
          <w:bCs/>
          <w:color w:val="auto"/>
          <w:sz w:val="30"/>
          <w:szCs w:val="30"/>
        </w:rPr>
        <w:t>用非食品原料加工的，加入非食品用化学物质或者将非食品当作食品的；</w:t>
      </w:r>
    </w:p>
    <w:p w14:paraId="4EEE1B03">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color w:val="auto"/>
          <w:kern w:val="0"/>
          <w:sz w:val="30"/>
          <w:szCs w:val="30"/>
          <w:lang w:val="en-US" w:eastAsia="zh-CN" w:bidi="ar"/>
        </w:rPr>
        <w:t>（</w:t>
      </w:r>
      <w:r>
        <w:rPr>
          <w:rFonts w:hint="eastAsia" w:ascii="仿宋_GB2312" w:hAnsi="仿宋_GB2312" w:eastAsia="仿宋_GB2312" w:cs="仿宋_GB2312"/>
          <w:b w:val="0"/>
          <w:bCs/>
          <w:color w:val="auto"/>
          <w:sz w:val="30"/>
          <w:szCs w:val="30"/>
        </w:rPr>
        <w:t>6</w:t>
      </w:r>
      <w:r>
        <w:rPr>
          <w:rFonts w:hint="eastAsia" w:ascii="仿宋_GB2312" w:hAnsi="仿宋_GB2312" w:eastAsia="仿宋_GB2312" w:cs="仿宋_GB2312"/>
          <w:b w:val="0"/>
          <w:bCs/>
          <w:color w:val="auto"/>
          <w:sz w:val="30"/>
          <w:szCs w:val="30"/>
          <w:lang w:eastAsia="zh-CN"/>
        </w:rPr>
        <w:t>）</w:t>
      </w:r>
      <w:r>
        <w:rPr>
          <w:rFonts w:hint="eastAsia" w:ascii="仿宋_GB2312" w:hAnsi="仿宋_GB2312" w:eastAsia="仿宋_GB2312" w:cs="仿宋_GB2312"/>
          <w:b w:val="0"/>
          <w:bCs/>
          <w:color w:val="auto"/>
          <w:sz w:val="30"/>
          <w:szCs w:val="30"/>
        </w:rPr>
        <w:t>超过保质期限的。</w:t>
      </w:r>
    </w:p>
    <w:p w14:paraId="72EF8E19">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7、合同期内如有严重违反合同并造成恶劣影响的；卫生检疫部门确认</w:t>
      </w:r>
      <w:r>
        <w:rPr>
          <w:rFonts w:hint="eastAsia" w:ascii="仿宋_GB2312" w:hAnsi="仿宋_GB2312" w:eastAsia="仿宋_GB2312" w:cs="仿宋_GB2312"/>
          <w:b w:val="0"/>
          <w:bCs/>
          <w:color w:val="auto"/>
          <w:sz w:val="30"/>
          <w:szCs w:val="30"/>
          <w:lang w:val="en-US" w:eastAsia="zh-CN"/>
        </w:rPr>
        <w:t>乙方</w:t>
      </w:r>
      <w:r>
        <w:rPr>
          <w:rFonts w:hint="eastAsia" w:ascii="仿宋_GB2312" w:hAnsi="仿宋_GB2312" w:eastAsia="仿宋_GB2312" w:cs="仿宋_GB2312"/>
          <w:b w:val="0"/>
          <w:bCs/>
          <w:color w:val="auto"/>
          <w:sz w:val="30"/>
          <w:szCs w:val="30"/>
        </w:rPr>
        <w:t>因送货质量问题造成食物中毒等后果的，</w:t>
      </w:r>
      <w:r>
        <w:rPr>
          <w:rFonts w:hint="eastAsia" w:ascii="仿宋_GB2312" w:hAnsi="仿宋_GB2312" w:eastAsia="仿宋_GB2312" w:cs="仿宋_GB2312"/>
          <w:b w:val="0"/>
          <w:bCs/>
          <w:color w:val="auto"/>
          <w:sz w:val="30"/>
          <w:szCs w:val="30"/>
          <w:lang w:val="en-US" w:eastAsia="zh-CN"/>
        </w:rPr>
        <w:t>乙方</w:t>
      </w:r>
      <w:r>
        <w:rPr>
          <w:rFonts w:hint="eastAsia" w:ascii="仿宋_GB2312" w:hAnsi="仿宋_GB2312" w:eastAsia="仿宋_GB2312" w:cs="仿宋_GB2312"/>
          <w:b w:val="0"/>
          <w:bCs/>
          <w:color w:val="auto"/>
          <w:sz w:val="30"/>
          <w:szCs w:val="30"/>
        </w:rPr>
        <w:t>应负全部经济和法律责任。</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视情节，有权终止合同。如</w:t>
      </w:r>
      <w:r>
        <w:rPr>
          <w:rFonts w:hint="eastAsia" w:ascii="仿宋_GB2312" w:hAnsi="仿宋_GB2312" w:eastAsia="仿宋_GB2312" w:cs="仿宋_GB2312"/>
          <w:b w:val="0"/>
          <w:bCs/>
          <w:color w:val="auto"/>
          <w:sz w:val="30"/>
          <w:szCs w:val="30"/>
          <w:lang w:val="en-US" w:eastAsia="zh-CN"/>
        </w:rPr>
        <w:t>乙方</w:t>
      </w:r>
      <w:r>
        <w:rPr>
          <w:rFonts w:hint="eastAsia" w:ascii="仿宋_GB2312" w:hAnsi="仿宋_GB2312" w:eastAsia="仿宋_GB2312" w:cs="仿宋_GB2312"/>
          <w:b w:val="0"/>
          <w:bCs/>
          <w:color w:val="auto"/>
          <w:sz w:val="30"/>
          <w:szCs w:val="30"/>
        </w:rPr>
        <w:t>被学校书面投诉三次及以上，</w:t>
      </w:r>
      <w:r>
        <w:rPr>
          <w:rFonts w:hint="eastAsia" w:ascii="仿宋_GB2312" w:hAnsi="仿宋_GB2312" w:eastAsia="仿宋_GB2312" w:cs="仿宋_GB2312"/>
          <w:b w:val="0"/>
          <w:bCs/>
          <w:color w:val="auto"/>
          <w:sz w:val="30"/>
          <w:szCs w:val="30"/>
          <w:lang w:val="en-US" w:eastAsia="zh-CN"/>
        </w:rPr>
        <w:t>甲方</w:t>
      </w:r>
      <w:r>
        <w:rPr>
          <w:rFonts w:hint="eastAsia" w:ascii="仿宋_GB2312" w:hAnsi="仿宋_GB2312" w:eastAsia="仿宋_GB2312" w:cs="仿宋_GB2312"/>
          <w:b w:val="0"/>
          <w:bCs/>
          <w:color w:val="auto"/>
          <w:sz w:val="30"/>
          <w:szCs w:val="30"/>
        </w:rPr>
        <w:t>有权取消</w:t>
      </w:r>
      <w:r>
        <w:rPr>
          <w:rFonts w:hint="eastAsia" w:ascii="仿宋_GB2312" w:hAnsi="仿宋_GB2312" w:eastAsia="仿宋_GB2312" w:cs="仿宋_GB2312"/>
          <w:b w:val="0"/>
          <w:bCs/>
          <w:color w:val="auto"/>
          <w:sz w:val="30"/>
          <w:szCs w:val="30"/>
          <w:lang w:val="en-US" w:eastAsia="zh-CN"/>
        </w:rPr>
        <w:t>乙方</w:t>
      </w:r>
      <w:r>
        <w:rPr>
          <w:rFonts w:hint="eastAsia" w:ascii="仿宋_GB2312" w:hAnsi="仿宋_GB2312" w:eastAsia="仿宋_GB2312" w:cs="仿宋_GB2312"/>
          <w:b w:val="0"/>
          <w:bCs/>
          <w:color w:val="auto"/>
          <w:sz w:val="30"/>
          <w:szCs w:val="30"/>
        </w:rPr>
        <w:t>资格。</w:t>
      </w:r>
      <w:r>
        <w:rPr>
          <w:rFonts w:hint="eastAsia" w:ascii="仿宋_GB2312" w:hAnsi="仿宋_GB2312" w:eastAsia="仿宋_GB2312" w:cs="仿宋_GB2312"/>
          <w:b w:val="0"/>
          <w:bCs/>
          <w:color w:val="auto"/>
          <w:sz w:val="30"/>
          <w:szCs w:val="30"/>
          <w:lang w:eastAsia="zh-CN"/>
        </w:rPr>
        <w:t>其他</w:t>
      </w:r>
      <w:r>
        <w:rPr>
          <w:rFonts w:hint="eastAsia" w:ascii="仿宋_GB2312" w:hAnsi="仿宋_GB2312" w:eastAsia="仿宋_GB2312" w:cs="仿宋_GB2312"/>
          <w:b w:val="0"/>
          <w:bCs/>
          <w:color w:val="auto"/>
          <w:sz w:val="30"/>
          <w:szCs w:val="30"/>
        </w:rPr>
        <w:t>未尽事宜以</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解释为准。</w:t>
      </w:r>
    </w:p>
    <w:p w14:paraId="4C6B5261">
      <w:pPr>
        <w:keepNext w:val="0"/>
        <w:keepLines w:val="0"/>
        <w:pageBreakBefore w:val="0"/>
        <w:widowControl w:val="0"/>
        <w:kinsoku/>
        <w:wordWrap/>
        <w:overflowPunct/>
        <w:topLinePunct w:val="0"/>
        <w:autoSpaceDE/>
        <w:autoSpaceDN/>
        <w:bidi w:val="0"/>
        <w:adjustRightInd w:val="0"/>
        <w:snapToGrid w:val="0"/>
        <w:spacing w:line="510" w:lineRule="exact"/>
        <w:ind w:firstLine="602" w:firstLineChars="200"/>
        <w:jc w:val="left"/>
        <w:textAlignment w:val="auto"/>
        <w:rPr>
          <w:rFonts w:hint="eastAsia" w:ascii="仿宋_GB2312" w:hAnsi="仿宋_GB2312" w:eastAsia="仿宋_GB2312" w:cs="仿宋_GB2312"/>
          <w:b/>
          <w:bCs w:val="0"/>
          <w:color w:val="auto"/>
          <w:sz w:val="30"/>
          <w:szCs w:val="30"/>
        </w:rPr>
      </w:pPr>
      <w:r>
        <w:rPr>
          <w:rFonts w:hint="eastAsia" w:ascii="仿宋_GB2312" w:hAnsi="仿宋_GB2312" w:eastAsia="仿宋_GB2312" w:cs="仿宋_GB2312"/>
          <w:b/>
          <w:bCs w:val="0"/>
          <w:color w:val="auto"/>
          <w:sz w:val="30"/>
          <w:szCs w:val="30"/>
        </w:rPr>
        <w:t>第六条 权利与义务</w:t>
      </w:r>
    </w:p>
    <w:p w14:paraId="679184E4">
      <w:pPr>
        <w:keepNext w:val="0"/>
        <w:keepLines w:val="0"/>
        <w:pageBreakBefore w:val="0"/>
        <w:widowControl w:val="0"/>
        <w:kinsoku/>
        <w:wordWrap/>
        <w:overflowPunct/>
        <w:topLinePunct w:val="0"/>
        <w:autoSpaceDE/>
        <w:autoSpaceDN/>
        <w:bidi w:val="0"/>
        <w:adjustRightInd w:val="0"/>
        <w:snapToGrid w:val="0"/>
        <w:spacing w:line="510" w:lineRule="exact"/>
        <w:ind w:firstLine="602" w:firstLineChars="200"/>
        <w:jc w:val="left"/>
        <w:textAlignment w:val="auto"/>
        <w:rPr>
          <w:rFonts w:hint="eastAsia" w:ascii="仿宋_GB2312" w:hAnsi="仿宋_GB2312" w:eastAsia="仿宋_GB2312" w:cs="仿宋_GB2312"/>
          <w:b/>
          <w:bCs w:val="0"/>
          <w:color w:val="auto"/>
          <w:sz w:val="30"/>
          <w:szCs w:val="30"/>
        </w:rPr>
      </w:pPr>
      <w:r>
        <w:rPr>
          <w:rFonts w:hint="eastAsia" w:ascii="仿宋_GB2312" w:hAnsi="仿宋_GB2312" w:eastAsia="仿宋_GB2312" w:cs="仿宋_GB2312"/>
          <w:b/>
          <w:bCs w:val="0"/>
          <w:color w:val="auto"/>
          <w:sz w:val="30"/>
          <w:szCs w:val="30"/>
        </w:rPr>
        <w:t>（一）</w:t>
      </w:r>
      <w:r>
        <w:rPr>
          <w:rFonts w:hint="eastAsia" w:ascii="仿宋_GB2312" w:hAnsi="仿宋_GB2312" w:eastAsia="仿宋_GB2312" w:cs="仿宋_GB2312"/>
          <w:b/>
          <w:bCs w:val="0"/>
          <w:color w:val="auto"/>
          <w:sz w:val="30"/>
          <w:szCs w:val="30"/>
          <w:lang w:eastAsia="zh-CN"/>
        </w:rPr>
        <w:t>甲方</w:t>
      </w:r>
      <w:r>
        <w:rPr>
          <w:rFonts w:hint="eastAsia" w:ascii="仿宋_GB2312" w:hAnsi="仿宋_GB2312" w:eastAsia="仿宋_GB2312" w:cs="仿宋_GB2312"/>
          <w:b/>
          <w:bCs w:val="0"/>
          <w:color w:val="auto"/>
          <w:sz w:val="30"/>
          <w:szCs w:val="30"/>
        </w:rPr>
        <w:t>的权利和义务</w:t>
      </w:r>
    </w:p>
    <w:p w14:paraId="1E85F69C">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1、</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有权利要求</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出示所采购产品的质检报告或</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有权利对</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所供货物另行抽检。</w:t>
      </w:r>
    </w:p>
    <w:p w14:paraId="3235E1EC">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2、</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有权利拒绝接受非</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采购产品。</w:t>
      </w:r>
    </w:p>
    <w:p w14:paraId="644C4C52">
      <w:pPr>
        <w:keepNext w:val="0"/>
        <w:keepLines w:val="0"/>
        <w:pageBreakBefore w:val="0"/>
        <w:widowControl w:val="0"/>
        <w:kinsoku/>
        <w:wordWrap/>
        <w:overflowPunct/>
        <w:topLinePunct w:val="0"/>
        <w:autoSpaceDE/>
        <w:autoSpaceDN/>
        <w:bidi w:val="0"/>
        <w:adjustRightInd w:val="0"/>
        <w:snapToGrid w:val="0"/>
        <w:spacing w:line="510" w:lineRule="exact"/>
        <w:ind w:firstLine="576" w:firstLineChars="200"/>
        <w:jc w:val="left"/>
        <w:textAlignment w:val="auto"/>
        <w:rPr>
          <w:rFonts w:hint="eastAsia" w:ascii="仿宋_GB2312" w:hAnsi="仿宋_GB2312" w:eastAsia="仿宋_GB2312" w:cs="仿宋_GB2312"/>
          <w:b w:val="0"/>
          <w:bCs/>
          <w:color w:val="auto"/>
          <w:spacing w:val="-6"/>
          <w:sz w:val="30"/>
          <w:szCs w:val="30"/>
        </w:rPr>
      </w:pPr>
      <w:r>
        <w:rPr>
          <w:rFonts w:hint="eastAsia" w:ascii="仿宋_GB2312" w:hAnsi="仿宋_GB2312" w:eastAsia="仿宋_GB2312" w:cs="仿宋_GB2312"/>
          <w:b w:val="0"/>
          <w:bCs/>
          <w:color w:val="auto"/>
          <w:spacing w:val="-6"/>
          <w:sz w:val="30"/>
          <w:szCs w:val="30"/>
        </w:rPr>
        <w:t>3、</w:t>
      </w:r>
      <w:r>
        <w:rPr>
          <w:rFonts w:hint="eastAsia" w:ascii="仿宋_GB2312" w:hAnsi="仿宋_GB2312" w:eastAsia="仿宋_GB2312" w:cs="仿宋_GB2312"/>
          <w:b w:val="0"/>
          <w:bCs/>
          <w:color w:val="auto"/>
          <w:spacing w:val="-6"/>
          <w:sz w:val="30"/>
          <w:szCs w:val="30"/>
          <w:lang w:eastAsia="zh-CN"/>
        </w:rPr>
        <w:t>甲方</w:t>
      </w:r>
      <w:r>
        <w:rPr>
          <w:rFonts w:hint="eastAsia" w:ascii="仿宋_GB2312" w:hAnsi="仿宋_GB2312" w:eastAsia="仿宋_GB2312" w:cs="仿宋_GB2312"/>
          <w:b w:val="0"/>
          <w:bCs/>
          <w:color w:val="auto"/>
          <w:spacing w:val="-6"/>
          <w:sz w:val="30"/>
          <w:szCs w:val="30"/>
        </w:rPr>
        <w:t>有权利对</w:t>
      </w:r>
      <w:r>
        <w:rPr>
          <w:rFonts w:hint="eastAsia" w:ascii="仿宋_GB2312" w:hAnsi="仿宋_GB2312" w:eastAsia="仿宋_GB2312" w:cs="仿宋_GB2312"/>
          <w:b w:val="0"/>
          <w:bCs/>
          <w:color w:val="auto"/>
          <w:spacing w:val="-6"/>
          <w:sz w:val="30"/>
          <w:szCs w:val="30"/>
          <w:lang w:eastAsia="zh-CN"/>
        </w:rPr>
        <w:t>乙方</w:t>
      </w:r>
      <w:r>
        <w:rPr>
          <w:rFonts w:hint="eastAsia" w:ascii="仿宋_GB2312" w:hAnsi="仿宋_GB2312" w:eastAsia="仿宋_GB2312" w:cs="仿宋_GB2312"/>
          <w:b w:val="0"/>
          <w:bCs/>
          <w:color w:val="auto"/>
          <w:spacing w:val="-6"/>
          <w:sz w:val="30"/>
          <w:szCs w:val="30"/>
        </w:rPr>
        <w:t>所供产品包装破损的产品提出异议或拒绝接受。</w:t>
      </w:r>
    </w:p>
    <w:p w14:paraId="11B7D222">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4、</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有权利对</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的服务进行监督和评判。</w:t>
      </w:r>
    </w:p>
    <w:p w14:paraId="099820D9">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5、</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有权利对</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提供的货物进行不定期抽查。</w:t>
      </w:r>
    </w:p>
    <w:p w14:paraId="653A4ADD">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lang w:val="en-US" w:eastAsia="zh-CN"/>
        </w:rPr>
        <w:t>6、</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有义务对</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所供货物进行规范储存。</w:t>
      </w:r>
    </w:p>
    <w:p w14:paraId="4CD8C214">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lang w:val="en-US" w:eastAsia="zh-CN"/>
        </w:rPr>
        <w:t>7</w:t>
      </w:r>
      <w:r>
        <w:rPr>
          <w:rFonts w:hint="eastAsia" w:ascii="仿宋_GB2312" w:hAnsi="仿宋_GB2312" w:eastAsia="仿宋_GB2312" w:cs="仿宋_GB2312"/>
          <w:b w:val="0"/>
          <w:bCs/>
          <w:color w:val="auto"/>
          <w:sz w:val="30"/>
          <w:szCs w:val="30"/>
        </w:rPr>
        <w:t>、</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有义务配合</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对</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所供产品的流向进行监控，不得出现流入非本渠道现象，更不能出现售卖等现象。</w:t>
      </w:r>
    </w:p>
    <w:p w14:paraId="7001AF80">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lang w:val="en-US" w:eastAsia="zh-CN"/>
        </w:rPr>
        <w:t>8</w:t>
      </w:r>
      <w:r>
        <w:rPr>
          <w:rFonts w:hint="eastAsia" w:ascii="仿宋_GB2312" w:hAnsi="仿宋_GB2312" w:eastAsia="仿宋_GB2312" w:cs="仿宋_GB2312"/>
          <w:b w:val="0"/>
          <w:bCs/>
          <w:color w:val="auto"/>
          <w:sz w:val="30"/>
          <w:szCs w:val="30"/>
        </w:rPr>
        <w:t>、在供货业务运行过程中出现时间、地点、人员变化等现象，</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有义务事先通告</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并配合</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完成后续交接等事宜。</w:t>
      </w:r>
    </w:p>
    <w:p w14:paraId="2BD9B143">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lang w:val="en-US" w:eastAsia="zh-CN"/>
        </w:rPr>
        <w:t>9</w:t>
      </w:r>
      <w:r>
        <w:rPr>
          <w:rFonts w:hint="eastAsia" w:ascii="仿宋_GB2312" w:hAnsi="仿宋_GB2312" w:eastAsia="仿宋_GB2312" w:cs="仿宋_GB2312"/>
          <w:b w:val="0"/>
          <w:bCs/>
          <w:color w:val="auto"/>
          <w:sz w:val="30"/>
          <w:szCs w:val="30"/>
        </w:rPr>
        <w:t>、</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有义务配合</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缩减交接货物环节的流程及时间。</w:t>
      </w:r>
    </w:p>
    <w:p w14:paraId="28401F6B">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lang w:val="en-US" w:eastAsia="zh-CN"/>
        </w:rPr>
        <w:t>10</w:t>
      </w:r>
      <w:r>
        <w:rPr>
          <w:rFonts w:hint="eastAsia" w:ascii="仿宋_GB2312" w:hAnsi="仿宋_GB2312" w:eastAsia="仿宋_GB2312" w:cs="仿宋_GB2312"/>
          <w:b w:val="0"/>
          <w:bCs/>
          <w:color w:val="auto"/>
          <w:sz w:val="30"/>
          <w:szCs w:val="30"/>
        </w:rPr>
        <w:t>、</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有义务配合</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处理完善双方合作中的突发事件。</w:t>
      </w:r>
    </w:p>
    <w:p w14:paraId="719431FB">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lang w:eastAsia="zh-CN"/>
        </w:rPr>
      </w:pPr>
      <w:r>
        <w:rPr>
          <w:rFonts w:hint="eastAsia" w:ascii="仿宋_GB2312" w:hAnsi="仿宋_GB2312" w:eastAsia="仿宋_GB2312" w:cs="仿宋_GB2312"/>
          <w:b w:val="0"/>
          <w:bCs/>
          <w:color w:val="auto"/>
          <w:sz w:val="30"/>
          <w:szCs w:val="30"/>
        </w:rPr>
        <w:t>1</w:t>
      </w:r>
      <w:r>
        <w:rPr>
          <w:rFonts w:hint="eastAsia" w:ascii="仿宋_GB2312" w:hAnsi="仿宋_GB2312" w:eastAsia="仿宋_GB2312" w:cs="仿宋_GB2312"/>
          <w:b w:val="0"/>
          <w:bCs/>
          <w:color w:val="auto"/>
          <w:sz w:val="30"/>
          <w:szCs w:val="30"/>
          <w:lang w:val="en-US" w:eastAsia="zh-CN"/>
        </w:rPr>
        <w:t>1</w:t>
      </w:r>
      <w:r>
        <w:rPr>
          <w:rFonts w:hint="eastAsia" w:ascii="仿宋_GB2312" w:hAnsi="仿宋_GB2312" w:eastAsia="仿宋_GB2312" w:cs="仿宋_GB2312"/>
          <w:b w:val="0"/>
          <w:bCs/>
          <w:color w:val="auto"/>
          <w:sz w:val="30"/>
          <w:szCs w:val="30"/>
        </w:rPr>
        <w:t>、</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有义务配合</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做一些关于食用产品知识的宣传工作</w:t>
      </w:r>
      <w:r>
        <w:rPr>
          <w:rFonts w:hint="eastAsia" w:ascii="仿宋_GB2312" w:hAnsi="仿宋_GB2312" w:eastAsia="仿宋_GB2312" w:cs="仿宋_GB2312"/>
          <w:b w:val="0"/>
          <w:bCs/>
          <w:color w:val="auto"/>
          <w:sz w:val="30"/>
          <w:szCs w:val="30"/>
          <w:lang w:eastAsia="zh-CN"/>
        </w:rPr>
        <w:t>。</w:t>
      </w:r>
    </w:p>
    <w:p w14:paraId="5E3FA091">
      <w:pPr>
        <w:keepNext w:val="0"/>
        <w:keepLines w:val="0"/>
        <w:pageBreakBefore w:val="0"/>
        <w:widowControl w:val="0"/>
        <w:kinsoku/>
        <w:wordWrap/>
        <w:overflowPunct/>
        <w:topLinePunct w:val="0"/>
        <w:autoSpaceDE/>
        <w:autoSpaceDN/>
        <w:bidi w:val="0"/>
        <w:adjustRightInd w:val="0"/>
        <w:snapToGrid w:val="0"/>
        <w:spacing w:line="510" w:lineRule="exact"/>
        <w:ind w:firstLine="602" w:firstLineChars="200"/>
        <w:jc w:val="left"/>
        <w:textAlignment w:val="auto"/>
        <w:rPr>
          <w:rFonts w:hint="eastAsia" w:ascii="仿宋_GB2312" w:hAnsi="仿宋_GB2312" w:eastAsia="仿宋_GB2312" w:cs="仿宋_GB2312"/>
          <w:b/>
          <w:bCs w:val="0"/>
          <w:color w:val="auto"/>
          <w:sz w:val="30"/>
          <w:szCs w:val="30"/>
        </w:rPr>
      </w:pPr>
      <w:r>
        <w:rPr>
          <w:rFonts w:hint="eastAsia" w:ascii="仿宋_GB2312" w:hAnsi="仿宋_GB2312" w:eastAsia="仿宋_GB2312" w:cs="仿宋_GB2312"/>
          <w:b/>
          <w:bCs w:val="0"/>
          <w:color w:val="auto"/>
          <w:sz w:val="30"/>
          <w:szCs w:val="30"/>
        </w:rPr>
        <w:t>（二）</w:t>
      </w:r>
      <w:r>
        <w:rPr>
          <w:rFonts w:hint="eastAsia" w:ascii="仿宋_GB2312" w:hAnsi="仿宋_GB2312" w:eastAsia="仿宋_GB2312" w:cs="仿宋_GB2312"/>
          <w:b/>
          <w:bCs w:val="0"/>
          <w:color w:val="auto"/>
          <w:sz w:val="30"/>
          <w:szCs w:val="30"/>
          <w:lang w:eastAsia="zh-CN"/>
        </w:rPr>
        <w:t>乙方</w:t>
      </w:r>
      <w:r>
        <w:rPr>
          <w:rFonts w:hint="eastAsia" w:ascii="仿宋_GB2312" w:hAnsi="仿宋_GB2312" w:eastAsia="仿宋_GB2312" w:cs="仿宋_GB2312"/>
          <w:b/>
          <w:bCs w:val="0"/>
          <w:color w:val="auto"/>
          <w:sz w:val="30"/>
          <w:szCs w:val="30"/>
        </w:rPr>
        <w:t>的权利和义务</w:t>
      </w:r>
    </w:p>
    <w:p w14:paraId="7131C9BA">
      <w:pPr>
        <w:keepNext w:val="0"/>
        <w:keepLines w:val="0"/>
        <w:pageBreakBefore w:val="0"/>
        <w:widowControl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1、</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有义务向</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提供按标签标注质量标注合格的产品，并向</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提供销售所需的“三证”及相关资料。</w:t>
      </w:r>
    </w:p>
    <w:p w14:paraId="4C4B52B3">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2、</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lang w:val="en-US" w:eastAsia="zh-CN"/>
        </w:rPr>
        <w:t>有</w:t>
      </w:r>
      <w:r>
        <w:rPr>
          <w:rFonts w:hint="eastAsia" w:ascii="仿宋_GB2312" w:hAnsi="仿宋_GB2312" w:eastAsia="仿宋_GB2312" w:cs="仿宋_GB2312"/>
          <w:b w:val="0"/>
          <w:bCs/>
          <w:color w:val="auto"/>
          <w:sz w:val="30"/>
          <w:szCs w:val="30"/>
        </w:rPr>
        <w:t>保证价格不变</w:t>
      </w:r>
      <w:r>
        <w:rPr>
          <w:rFonts w:hint="eastAsia" w:ascii="仿宋_GB2312" w:hAnsi="仿宋_GB2312" w:eastAsia="仿宋_GB2312" w:cs="仿宋_GB2312"/>
          <w:b w:val="0"/>
          <w:bCs/>
          <w:color w:val="auto"/>
          <w:sz w:val="30"/>
          <w:szCs w:val="30"/>
          <w:lang w:val="en-US" w:eastAsia="zh-CN"/>
        </w:rPr>
        <w:t>的义务</w:t>
      </w:r>
      <w:r>
        <w:rPr>
          <w:rFonts w:hint="eastAsia" w:ascii="仿宋_GB2312" w:hAnsi="仿宋_GB2312" w:eastAsia="仿宋_GB2312" w:cs="仿宋_GB2312"/>
          <w:b w:val="0"/>
          <w:bCs/>
          <w:color w:val="auto"/>
          <w:sz w:val="30"/>
          <w:szCs w:val="30"/>
        </w:rPr>
        <w:t>。</w:t>
      </w:r>
    </w:p>
    <w:p w14:paraId="719F454F">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3、</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保证向</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所供货完整无损。</w:t>
      </w:r>
    </w:p>
    <w:p w14:paraId="66C7FB6D">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4、在同等条件下，</w:t>
      </w:r>
      <w:r>
        <w:rPr>
          <w:rFonts w:hint="eastAsia" w:ascii="仿宋_GB2312" w:hAnsi="仿宋_GB2312" w:eastAsia="仿宋_GB2312" w:cs="仿宋_GB2312"/>
          <w:b w:val="0"/>
          <w:bCs/>
          <w:color w:val="auto"/>
          <w:sz w:val="30"/>
          <w:szCs w:val="30"/>
          <w:lang w:eastAsia="zh-CN"/>
        </w:rPr>
        <w:t>甲方</w:t>
      </w:r>
      <w:r>
        <w:rPr>
          <w:rFonts w:hint="eastAsia" w:ascii="仿宋_GB2312" w:hAnsi="仿宋_GB2312" w:eastAsia="仿宋_GB2312" w:cs="仿宋_GB2312"/>
          <w:b w:val="0"/>
          <w:bCs/>
          <w:color w:val="auto"/>
          <w:sz w:val="30"/>
          <w:szCs w:val="30"/>
        </w:rPr>
        <w:t>应优先选用</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的产品。</w:t>
      </w:r>
    </w:p>
    <w:p w14:paraId="248E6B35">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lang w:val="en-US" w:eastAsia="zh-CN"/>
        </w:rPr>
      </w:pPr>
      <w:r>
        <w:rPr>
          <w:rFonts w:hint="eastAsia" w:ascii="仿宋_GB2312" w:hAnsi="仿宋_GB2312" w:eastAsia="仿宋_GB2312" w:cs="仿宋_GB2312"/>
          <w:b w:val="0"/>
          <w:bCs/>
          <w:color w:val="auto"/>
          <w:sz w:val="30"/>
          <w:szCs w:val="30"/>
          <w:lang w:val="en-US" w:eastAsia="zh-CN"/>
        </w:rPr>
        <w:t>5、乙方在按相关规定送货到位后，甲方应及时接收并出具规定的接货证明，避免拖延时间或无人接货等现象的出现。</w:t>
      </w:r>
    </w:p>
    <w:p w14:paraId="1139C9C8">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lang w:val="en-US" w:eastAsia="zh-CN"/>
        </w:rPr>
      </w:pPr>
      <w:r>
        <w:rPr>
          <w:rFonts w:hint="eastAsia" w:ascii="仿宋_GB2312" w:hAnsi="仿宋_GB2312" w:eastAsia="仿宋_GB2312" w:cs="仿宋_GB2312"/>
          <w:b w:val="0"/>
          <w:bCs/>
          <w:color w:val="auto"/>
          <w:sz w:val="30"/>
          <w:szCs w:val="30"/>
          <w:lang w:val="en-US" w:eastAsia="zh-CN"/>
        </w:rPr>
        <w:t>6、乙方有义务对所供学校的师生进行产品知识及食用产品知识的培训。</w:t>
      </w:r>
    </w:p>
    <w:p w14:paraId="31931777">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7、</w:t>
      </w:r>
      <w:r>
        <w:rPr>
          <w:rFonts w:hint="eastAsia" w:ascii="仿宋_GB2312" w:hAnsi="仿宋_GB2312" w:eastAsia="仿宋_GB2312" w:cs="仿宋_GB2312"/>
          <w:b w:val="0"/>
          <w:bCs/>
          <w:color w:val="auto"/>
          <w:sz w:val="30"/>
          <w:szCs w:val="30"/>
          <w:lang w:eastAsia="zh-CN"/>
        </w:rPr>
        <w:t>乙方</w:t>
      </w:r>
      <w:r>
        <w:rPr>
          <w:rFonts w:hint="eastAsia" w:ascii="仿宋_GB2312" w:hAnsi="仿宋_GB2312" w:eastAsia="仿宋_GB2312" w:cs="仿宋_GB2312"/>
          <w:b w:val="0"/>
          <w:bCs/>
          <w:color w:val="auto"/>
          <w:sz w:val="30"/>
          <w:szCs w:val="30"/>
        </w:rPr>
        <w:t>有义务对所供学校提供每单品一包的留样产品（送到每个学校留样1份）。</w:t>
      </w:r>
    </w:p>
    <w:p w14:paraId="04A3C926">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8、乙方保证对其出售的货物上不存在任何未曾向甲方透露的担保物权，如抵押权、质押权、留置权。</w:t>
      </w:r>
    </w:p>
    <w:p w14:paraId="455FA807">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9、乙方保证对其出售的货物或其任何一部分没有侵犯第三方的专利权、版权、商标权或其他权利。</w:t>
      </w:r>
    </w:p>
    <w:p w14:paraId="437017B7">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10、如甲方在使用</w:t>
      </w:r>
      <w:r>
        <w:rPr>
          <w:rFonts w:hint="eastAsia" w:ascii="仿宋_GB2312" w:hAnsi="仿宋_GB2312" w:eastAsia="仿宋_GB2312" w:cs="仿宋_GB2312"/>
          <w:color w:val="auto"/>
          <w:sz w:val="30"/>
          <w:szCs w:val="30"/>
          <w:lang w:val="en-US" w:eastAsia="zh-CN"/>
        </w:rPr>
        <w:t>乙方所供</w:t>
      </w:r>
      <w:r>
        <w:rPr>
          <w:rFonts w:hint="eastAsia" w:ascii="仿宋_GB2312" w:hAnsi="仿宋_GB2312" w:eastAsia="仿宋_GB2312" w:cs="仿宋_GB2312"/>
          <w:color w:val="auto"/>
          <w:sz w:val="30"/>
          <w:szCs w:val="30"/>
        </w:rPr>
        <w:t>货物构成上述侵权的，则由乙方承担全部责任。</w:t>
      </w:r>
    </w:p>
    <w:p w14:paraId="769C26D5">
      <w:pPr>
        <w:keepNext w:val="0"/>
        <w:keepLines w:val="0"/>
        <w:pageBreakBefore w:val="0"/>
        <w:widowControl/>
        <w:kinsoku/>
        <w:wordWrap/>
        <w:overflowPunct/>
        <w:topLinePunct w:val="0"/>
        <w:autoSpaceDE/>
        <w:autoSpaceDN/>
        <w:bidi w:val="0"/>
        <w:adjustRightInd w:val="0"/>
        <w:snapToGrid w:val="0"/>
        <w:spacing w:line="51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 xml:space="preserve">第七条 包装要求与运输方式   </w:t>
      </w:r>
    </w:p>
    <w:p w14:paraId="2985C1C1">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1、除合同另有规定外，乙方提供的全部货物均应按标准保护措施进行包装，该包装应适应于远距离运输、防潮、防震、防锈和防野蛮装卸，以确保货物安全运抵指定地点。</w:t>
      </w:r>
    </w:p>
    <w:p w14:paraId="1FE56107">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u w:val="single"/>
        </w:rPr>
      </w:pPr>
      <w:r>
        <w:rPr>
          <w:rFonts w:hint="eastAsia" w:ascii="仿宋_GB2312" w:hAnsi="仿宋_GB2312" w:eastAsia="仿宋_GB2312" w:cs="仿宋_GB2312"/>
          <w:color w:val="auto"/>
          <w:sz w:val="30"/>
          <w:szCs w:val="30"/>
        </w:rPr>
        <w:t>2、货物（产品）运输方式：厢式货车。</w:t>
      </w:r>
    </w:p>
    <w:p w14:paraId="4411D93D">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3、乙方负责货物（产品）运输，货物运输的合理损耗及计算方法</w:t>
      </w:r>
      <w:r>
        <w:rPr>
          <w:rFonts w:hint="eastAsia" w:ascii="仿宋_GB2312" w:hAnsi="仿宋_GB2312" w:eastAsia="仿宋_GB2312" w:cs="仿宋_GB2312"/>
          <w:color w:val="auto"/>
          <w:sz w:val="30"/>
          <w:szCs w:val="30"/>
          <w:lang w:val="en-US" w:eastAsia="zh-CN"/>
        </w:rPr>
        <w:t>均由</w:t>
      </w:r>
      <w:r>
        <w:rPr>
          <w:rFonts w:hint="eastAsia" w:ascii="仿宋_GB2312" w:hAnsi="仿宋_GB2312" w:eastAsia="仿宋_GB2312" w:cs="仿宋_GB2312"/>
          <w:color w:val="auto"/>
          <w:sz w:val="30"/>
          <w:szCs w:val="30"/>
        </w:rPr>
        <w:t>乙方支付。</w:t>
      </w:r>
    </w:p>
    <w:p w14:paraId="62CD0AC8">
      <w:pPr>
        <w:keepNext w:val="0"/>
        <w:keepLines w:val="0"/>
        <w:pageBreakBefore w:val="0"/>
        <w:widowControl/>
        <w:kinsoku/>
        <w:wordWrap/>
        <w:overflowPunct/>
        <w:topLinePunct w:val="0"/>
        <w:autoSpaceDE/>
        <w:autoSpaceDN/>
        <w:bidi w:val="0"/>
        <w:adjustRightInd w:val="0"/>
        <w:snapToGrid w:val="0"/>
        <w:spacing w:line="51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第八条 货物验收</w:t>
      </w:r>
    </w:p>
    <w:p w14:paraId="0123CB8F">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1、产品验收由甲方组织，</w:t>
      </w:r>
      <w:r>
        <w:rPr>
          <w:rFonts w:hint="eastAsia" w:ascii="仿宋_GB2312" w:hAnsi="仿宋_GB2312" w:eastAsia="仿宋_GB2312" w:cs="仿宋_GB2312"/>
          <w:color w:val="auto"/>
          <w:sz w:val="30"/>
          <w:szCs w:val="30"/>
          <w:lang w:val="en-US" w:eastAsia="zh-CN"/>
        </w:rPr>
        <w:t>各使用单位具体实施，</w:t>
      </w:r>
      <w:r>
        <w:rPr>
          <w:rFonts w:hint="eastAsia" w:ascii="仿宋_GB2312" w:hAnsi="仿宋_GB2312" w:eastAsia="仿宋_GB2312" w:cs="仿宋_GB2312"/>
          <w:color w:val="auto"/>
          <w:sz w:val="30"/>
          <w:szCs w:val="30"/>
        </w:rPr>
        <w:t>乙方配合，并符合下列要求：</w:t>
      </w:r>
    </w:p>
    <w:p w14:paraId="413BFD4C">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①每次配送量应包含留样1份，留样费用由乙方负担，使用单位和</w:t>
      </w:r>
      <w:r>
        <w:rPr>
          <w:rFonts w:hint="eastAsia" w:ascii="仿宋_GB2312" w:hAnsi="仿宋_GB2312" w:eastAsia="仿宋_GB2312" w:cs="仿宋_GB2312"/>
          <w:color w:val="auto"/>
          <w:sz w:val="30"/>
          <w:szCs w:val="30"/>
          <w:lang w:eastAsia="zh-CN"/>
        </w:rPr>
        <w:t>乙方</w:t>
      </w:r>
      <w:r>
        <w:rPr>
          <w:rFonts w:hint="eastAsia" w:ascii="仿宋_GB2312" w:hAnsi="仿宋_GB2312" w:eastAsia="仿宋_GB2312" w:cs="仿宋_GB2312"/>
          <w:color w:val="auto"/>
          <w:sz w:val="30"/>
          <w:szCs w:val="30"/>
        </w:rPr>
        <w:t>共同对所有食品的品种、规格、数量及保质期进行验收。</w:t>
      </w:r>
    </w:p>
    <w:p w14:paraId="65E925FE">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②</w:t>
      </w:r>
      <w:r>
        <w:rPr>
          <w:rFonts w:hint="eastAsia" w:ascii="仿宋_GB2312" w:hAnsi="仿宋_GB2312" w:eastAsia="仿宋_GB2312" w:cs="仿宋_GB2312"/>
          <w:color w:val="auto"/>
          <w:sz w:val="30"/>
          <w:szCs w:val="30"/>
          <w:lang w:eastAsia="zh-CN"/>
        </w:rPr>
        <w:t>乙方</w:t>
      </w:r>
      <w:r>
        <w:rPr>
          <w:rFonts w:hint="eastAsia" w:ascii="仿宋_GB2312" w:hAnsi="仿宋_GB2312" w:eastAsia="仿宋_GB2312" w:cs="仿宋_GB2312"/>
          <w:color w:val="auto"/>
          <w:sz w:val="30"/>
          <w:szCs w:val="30"/>
        </w:rPr>
        <w:t>每次供货须向使用单位提供“供货清单”（供货清单一式三份，</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一份，成交单位一份，使用单位一份）；经验收合格后，由使用单位在“供货清单”上签字并盖单位公章。</w:t>
      </w:r>
    </w:p>
    <w:p w14:paraId="30117C11">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③若验收不合格，成交单位必须及时无条件换货，保证使用单位的正常使用，否则将终止其供货合同，并赔偿</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的损失。</w:t>
      </w:r>
    </w:p>
    <w:p w14:paraId="7FC6AAC5">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2、货物验收依据：</w:t>
      </w:r>
    </w:p>
    <w:p w14:paraId="2D0A9E30">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（1）招标文件；</w:t>
      </w:r>
    </w:p>
    <w:p w14:paraId="2C8921E8">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（2）投标文件；</w:t>
      </w:r>
    </w:p>
    <w:p w14:paraId="291A3857">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（3）采购合同及补充协议；</w:t>
      </w:r>
    </w:p>
    <w:p w14:paraId="39EBB9E6">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（4）产品合格的检测报告。</w:t>
      </w:r>
    </w:p>
    <w:p w14:paraId="65CED02B">
      <w:pPr>
        <w:keepNext w:val="0"/>
        <w:keepLines w:val="0"/>
        <w:pageBreakBefore w:val="0"/>
        <w:widowControl/>
        <w:kinsoku/>
        <w:wordWrap/>
        <w:overflowPunct/>
        <w:topLinePunct w:val="0"/>
        <w:autoSpaceDE/>
        <w:autoSpaceDN/>
        <w:bidi w:val="0"/>
        <w:adjustRightInd w:val="0"/>
        <w:snapToGrid w:val="0"/>
        <w:spacing w:line="51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第九条 售后服务</w:t>
      </w:r>
    </w:p>
    <w:p w14:paraId="0CF4FA45">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乙方应按照国家有关法律法规和“三包”规定以及招标文件要求和投标文件的“服务承诺”提供服务。</w:t>
      </w:r>
    </w:p>
    <w:p w14:paraId="52F6F0FB">
      <w:pPr>
        <w:keepNext w:val="0"/>
        <w:keepLines w:val="0"/>
        <w:pageBreakBefore w:val="0"/>
        <w:widowControl/>
        <w:kinsoku/>
        <w:wordWrap/>
        <w:overflowPunct/>
        <w:topLinePunct w:val="0"/>
        <w:autoSpaceDE/>
        <w:autoSpaceDN/>
        <w:bidi w:val="0"/>
        <w:adjustRightInd w:val="0"/>
        <w:snapToGrid w:val="0"/>
        <w:spacing w:line="512"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第十条 履约保证金</w:t>
      </w:r>
    </w:p>
    <w:p w14:paraId="02D09F6C">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乙方中标后，向县教育局缴纳</w:t>
      </w:r>
      <w:r>
        <w:rPr>
          <w:rFonts w:hint="eastAsia" w:ascii="仿宋_GB2312" w:hAnsi="仿宋_GB2312" w:eastAsia="仿宋_GB2312" w:cs="仿宋_GB2312"/>
          <w:color w:val="auto"/>
          <w:sz w:val="30"/>
          <w:szCs w:val="30"/>
          <w:u w:val="single"/>
          <w:lang w:val="en-US" w:eastAsia="zh-CN"/>
        </w:rPr>
        <w:t>50000.00</w:t>
      </w:r>
      <w:r>
        <w:rPr>
          <w:rFonts w:hint="eastAsia" w:ascii="仿宋_GB2312" w:hAnsi="仿宋_GB2312" w:eastAsia="仿宋_GB2312" w:cs="仿宋_GB2312"/>
          <w:color w:val="auto"/>
          <w:sz w:val="30"/>
          <w:szCs w:val="30"/>
        </w:rPr>
        <w:t>元履约保证金。合同期满后</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无违反合同条款行为的无息退还。若有违反合同条款行为的，按照合同约定在履约保证金中扣除应赔付的款额后，余款</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无息退还。若有不足扣款的金额，由乙方补足。</w:t>
      </w:r>
    </w:p>
    <w:p w14:paraId="0EB29B3D">
      <w:pPr>
        <w:keepNext w:val="0"/>
        <w:keepLines w:val="0"/>
        <w:pageBreakBefore w:val="0"/>
        <w:widowControl/>
        <w:kinsoku/>
        <w:wordWrap/>
        <w:overflowPunct/>
        <w:topLinePunct w:val="0"/>
        <w:autoSpaceDE/>
        <w:autoSpaceDN/>
        <w:bidi w:val="0"/>
        <w:adjustRightInd w:val="0"/>
        <w:snapToGrid w:val="0"/>
        <w:spacing w:line="512"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第十一条 违约责任</w:t>
      </w:r>
    </w:p>
    <w:p w14:paraId="20E36635">
      <w:pPr>
        <w:keepNext w:val="0"/>
        <w:keepLines w:val="0"/>
        <w:pageBreakBefore w:val="0"/>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1、甲方违约责任</w:t>
      </w:r>
    </w:p>
    <w:p w14:paraId="7DDC3641">
      <w:pPr>
        <w:keepNext w:val="0"/>
        <w:keepLines w:val="0"/>
        <w:pageBreakBefore w:val="0"/>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（1）甲方无正当理由拒收货物的，甲方应偿付合同总价</w:t>
      </w:r>
      <w:r>
        <w:rPr>
          <w:rFonts w:hint="eastAsia" w:ascii="仿宋_GB2312" w:hAnsi="仿宋_GB2312" w:eastAsia="仿宋_GB2312" w:cs="仿宋_GB2312"/>
          <w:color w:val="auto"/>
          <w:sz w:val="30"/>
          <w:szCs w:val="30"/>
          <w:u w:val="single"/>
        </w:rPr>
        <w:t xml:space="preserve"> 3 %</w:t>
      </w:r>
      <w:r>
        <w:rPr>
          <w:rFonts w:hint="eastAsia" w:ascii="仿宋_GB2312" w:hAnsi="仿宋_GB2312" w:eastAsia="仿宋_GB2312" w:cs="仿宋_GB2312"/>
          <w:color w:val="auto"/>
          <w:sz w:val="30"/>
          <w:szCs w:val="30"/>
        </w:rPr>
        <w:t>的违约金；</w:t>
      </w:r>
    </w:p>
    <w:p w14:paraId="725EEAA3">
      <w:pPr>
        <w:keepNext w:val="0"/>
        <w:keepLines w:val="0"/>
        <w:pageBreakBefore w:val="0"/>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（2）甲方逾期支付货款的，除应及时付足货款外，应向乙方每天支付欠款总额</w:t>
      </w:r>
      <w:r>
        <w:rPr>
          <w:rFonts w:hint="eastAsia" w:ascii="仿宋_GB2312" w:hAnsi="仿宋_GB2312" w:eastAsia="仿宋_GB2312" w:cs="仿宋_GB2312"/>
          <w:color w:val="auto"/>
          <w:sz w:val="30"/>
          <w:szCs w:val="30"/>
          <w:u w:val="single"/>
        </w:rPr>
        <w:t xml:space="preserve">  3 </w:t>
      </w:r>
      <w:r>
        <w:rPr>
          <w:rFonts w:hint="eastAsia" w:ascii="仿宋_GB2312" w:hAnsi="仿宋_GB2312" w:eastAsia="仿宋_GB2312" w:cs="仿宋_GB2312"/>
          <w:color w:val="auto"/>
          <w:sz w:val="30"/>
          <w:szCs w:val="30"/>
        </w:rPr>
        <w:t>‰的滞纳金；但累计滞纳金总额不超过欠款总额的</w:t>
      </w:r>
      <w:r>
        <w:rPr>
          <w:rFonts w:hint="eastAsia" w:ascii="仿宋_GB2312" w:hAnsi="仿宋_GB2312" w:eastAsia="仿宋_GB2312" w:cs="仿宋_GB2312"/>
          <w:color w:val="auto"/>
          <w:sz w:val="30"/>
          <w:szCs w:val="30"/>
          <w:u w:val="single"/>
        </w:rPr>
        <w:t xml:space="preserve"> 5 </w:t>
      </w:r>
      <w:r>
        <w:rPr>
          <w:rFonts w:hint="eastAsia" w:ascii="仿宋_GB2312" w:hAnsi="仿宋_GB2312" w:eastAsia="仿宋_GB2312" w:cs="仿宋_GB2312"/>
          <w:color w:val="auto"/>
          <w:sz w:val="30"/>
          <w:szCs w:val="30"/>
        </w:rPr>
        <w:t>%。</w:t>
      </w:r>
    </w:p>
    <w:p w14:paraId="5C31D14F">
      <w:pPr>
        <w:keepNext w:val="0"/>
        <w:keepLines w:val="0"/>
        <w:pageBreakBefore w:val="0"/>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2、乙方违约责任</w:t>
      </w:r>
    </w:p>
    <w:p w14:paraId="1DBA2186">
      <w:pPr>
        <w:keepNext w:val="0"/>
        <w:keepLines w:val="0"/>
        <w:pageBreakBefore w:val="0"/>
        <w:widowControl/>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（1）如乙方不能交付货物，甲方有权扣留全部履约保证金；同时乙方应向甲方支付合同总价</w:t>
      </w:r>
      <w:r>
        <w:rPr>
          <w:rFonts w:hint="eastAsia" w:ascii="仿宋_GB2312" w:hAnsi="仿宋_GB2312" w:eastAsia="仿宋_GB2312" w:cs="仿宋_GB2312"/>
          <w:color w:val="auto"/>
          <w:sz w:val="30"/>
          <w:szCs w:val="30"/>
          <w:u w:val="single"/>
        </w:rPr>
        <w:t xml:space="preserve"> 3 </w:t>
      </w:r>
      <w:r>
        <w:rPr>
          <w:rFonts w:hint="eastAsia" w:ascii="仿宋_GB2312" w:hAnsi="仿宋_GB2312" w:eastAsia="仿宋_GB2312" w:cs="仿宋_GB2312"/>
          <w:color w:val="auto"/>
          <w:sz w:val="30"/>
          <w:szCs w:val="30"/>
        </w:rPr>
        <w:t>％的违约金；</w:t>
      </w:r>
    </w:p>
    <w:p w14:paraId="05600F3D">
      <w:pPr>
        <w:keepNext w:val="0"/>
        <w:keepLines w:val="0"/>
        <w:pageBreakBefore w:val="0"/>
        <w:widowControl/>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（2）乙方逾期交付货物的，每逾期1天，乙方向甲方偿付逾期交货部分货款总额的</w:t>
      </w:r>
      <w:r>
        <w:rPr>
          <w:rFonts w:hint="eastAsia" w:ascii="仿宋_GB2312" w:hAnsi="仿宋_GB2312" w:eastAsia="仿宋_GB2312" w:cs="仿宋_GB2312"/>
          <w:color w:val="auto"/>
          <w:sz w:val="30"/>
          <w:szCs w:val="30"/>
          <w:u w:val="single"/>
        </w:rPr>
        <w:t xml:space="preserve"> 5 </w:t>
      </w:r>
      <w:r>
        <w:rPr>
          <w:rFonts w:hint="eastAsia" w:ascii="仿宋_GB2312" w:hAnsi="仿宋_GB2312" w:eastAsia="仿宋_GB2312" w:cs="仿宋_GB2312"/>
          <w:color w:val="auto"/>
          <w:sz w:val="30"/>
          <w:szCs w:val="30"/>
        </w:rPr>
        <w:t>‰的滞纳金。如乙方逾期交货达</w:t>
      </w:r>
      <w:r>
        <w:rPr>
          <w:rFonts w:hint="eastAsia" w:ascii="仿宋_GB2312" w:hAnsi="仿宋_GB2312" w:eastAsia="仿宋_GB2312" w:cs="仿宋_GB2312"/>
          <w:color w:val="auto"/>
          <w:sz w:val="30"/>
          <w:szCs w:val="30"/>
          <w:u w:val="single"/>
        </w:rPr>
        <w:t xml:space="preserve"> 10 </w:t>
      </w:r>
      <w:r>
        <w:rPr>
          <w:rFonts w:hint="eastAsia" w:ascii="仿宋_GB2312" w:hAnsi="仿宋_GB2312" w:eastAsia="仿宋_GB2312" w:cs="仿宋_GB2312"/>
          <w:color w:val="auto"/>
          <w:sz w:val="30"/>
          <w:szCs w:val="30"/>
        </w:rPr>
        <w:t>天，甲方有权解除合同，解除合同的通知自到达乙方时生效；</w:t>
      </w:r>
    </w:p>
    <w:p w14:paraId="0E2B1144">
      <w:pPr>
        <w:keepNext w:val="0"/>
        <w:keepLines w:val="0"/>
        <w:pageBreakBefore w:val="0"/>
        <w:widowControl/>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（3）乙方所交付的货物品种、型号、规格不符合合同规定的，甲方</w:t>
      </w:r>
      <w:r>
        <w:rPr>
          <w:rFonts w:hint="eastAsia" w:ascii="仿宋_GB2312" w:hAnsi="仿宋_GB2312" w:eastAsia="仿宋_GB2312" w:cs="仿宋_GB2312"/>
          <w:color w:val="auto"/>
          <w:sz w:val="30"/>
          <w:szCs w:val="30"/>
          <w:lang w:val="en-US" w:eastAsia="zh-CN"/>
        </w:rPr>
        <w:t>或使用单位</w:t>
      </w:r>
      <w:r>
        <w:rPr>
          <w:rFonts w:hint="eastAsia" w:ascii="仿宋_GB2312" w:hAnsi="仿宋_GB2312" w:eastAsia="仿宋_GB2312" w:cs="仿宋_GB2312"/>
          <w:color w:val="auto"/>
          <w:sz w:val="30"/>
          <w:szCs w:val="30"/>
        </w:rPr>
        <w:t>有权拒收。甲方</w:t>
      </w:r>
      <w:r>
        <w:rPr>
          <w:rFonts w:hint="eastAsia" w:ascii="仿宋_GB2312" w:hAnsi="仿宋_GB2312" w:eastAsia="仿宋_GB2312" w:cs="仿宋_GB2312"/>
          <w:color w:val="auto"/>
          <w:sz w:val="30"/>
          <w:szCs w:val="30"/>
          <w:lang w:val="en-US" w:eastAsia="zh-CN"/>
        </w:rPr>
        <w:t>或使用单位</w:t>
      </w:r>
      <w:r>
        <w:rPr>
          <w:rFonts w:hint="eastAsia" w:ascii="仿宋_GB2312" w:hAnsi="仿宋_GB2312" w:eastAsia="仿宋_GB2312" w:cs="仿宋_GB2312"/>
          <w:color w:val="auto"/>
          <w:sz w:val="30"/>
          <w:szCs w:val="30"/>
        </w:rPr>
        <w:t>拒收的，乙方应向甲方支付货款总额</w:t>
      </w:r>
      <w:r>
        <w:rPr>
          <w:rFonts w:hint="eastAsia" w:ascii="仿宋_GB2312" w:hAnsi="仿宋_GB2312" w:eastAsia="仿宋_GB2312" w:cs="仿宋_GB2312"/>
          <w:color w:val="auto"/>
          <w:sz w:val="30"/>
          <w:szCs w:val="30"/>
          <w:u w:val="single"/>
        </w:rPr>
        <w:t xml:space="preserve"> 5%</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的违约金；</w:t>
      </w:r>
    </w:p>
    <w:p w14:paraId="489FE15E">
      <w:pPr>
        <w:keepNext w:val="0"/>
        <w:keepLines w:val="0"/>
        <w:pageBreakBefore w:val="0"/>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乙方货物经甲方送交具有法定资格条件的质量技术监督机构检测后，如检测结果认定货物质量不符合本合同规定标准的，则视为乙方没有按时交货而违约，乙方须在10天内无条件更换合格的货物，如逾期不能更换合格的货物，甲方有权终止本合同，乙方应另向甲方支付货款总额的</w:t>
      </w:r>
      <w:r>
        <w:rPr>
          <w:rFonts w:hint="eastAsia" w:ascii="仿宋_GB2312" w:hAnsi="仿宋_GB2312" w:eastAsia="仿宋_GB2312" w:cs="仿宋_GB2312"/>
          <w:color w:val="auto"/>
          <w:sz w:val="30"/>
          <w:szCs w:val="30"/>
          <w:u w:val="single"/>
        </w:rPr>
        <w:t xml:space="preserve"> 3%</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的违约金；</w:t>
      </w:r>
    </w:p>
    <w:p w14:paraId="793E51BB">
      <w:pPr>
        <w:keepNext w:val="0"/>
        <w:keepLines w:val="0"/>
        <w:pageBreakBefore w:val="0"/>
        <w:kinsoku/>
        <w:wordWrap/>
        <w:overflowPunct/>
        <w:topLinePunct w:val="0"/>
        <w:autoSpaceDE/>
        <w:autoSpaceDN/>
        <w:bidi w:val="0"/>
        <w:adjustRightInd w:val="0"/>
        <w:snapToGrid w:val="0"/>
        <w:spacing w:line="512"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（5）乙方未按本合同第十条的规定交付履约保证金的，应按应交付履约保证金的</w:t>
      </w:r>
      <w:r>
        <w:rPr>
          <w:rFonts w:hint="eastAsia" w:ascii="仿宋_GB2312" w:hAnsi="仿宋_GB2312" w:eastAsia="仿宋_GB2312" w:cs="仿宋_GB2312"/>
          <w:color w:val="auto"/>
          <w:sz w:val="30"/>
          <w:szCs w:val="30"/>
          <w:u w:val="single"/>
        </w:rPr>
        <w:t xml:space="preserve"> 1%</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向甲方支付违约金，该违约金的支付不影响乙方应承担的其他违约责任；</w:t>
      </w:r>
    </w:p>
    <w:p w14:paraId="318258EC">
      <w:pPr>
        <w:keepNext w:val="0"/>
        <w:keepLines w:val="0"/>
        <w:pageBreakBefore w:val="0"/>
        <w:kinsoku/>
        <w:wordWrap/>
        <w:overflowPunct/>
        <w:topLinePunct w:val="0"/>
        <w:autoSpaceDE/>
        <w:autoSpaceDN/>
        <w:bidi w:val="0"/>
        <w:adjustRightInd w:val="0"/>
        <w:snapToGrid w:val="0"/>
        <w:spacing w:line="510" w:lineRule="exact"/>
        <w:ind w:firstLine="600" w:firstLineChars="200"/>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（6）乙方未按本合同的规定和“服务承诺”提供伴随服务/售后服务的，应按合同总价款的</w:t>
      </w:r>
      <w:r>
        <w:rPr>
          <w:rFonts w:hint="eastAsia" w:ascii="仿宋_GB2312" w:hAnsi="仿宋_GB2312" w:eastAsia="仿宋_GB2312" w:cs="仿宋_GB2312"/>
          <w:color w:val="auto"/>
          <w:sz w:val="30"/>
          <w:szCs w:val="30"/>
          <w:u w:val="single"/>
        </w:rPr>
        <w:t xml:space="preserve"> 2%</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向甲方承担违约责任；</w:t>
      </w:r>
    </w:p>
    <w:p w14:paraId="30EF5E0F">
      <w:pPr>
        <w:keepNext w:val="0"/>
        <w:keepLines w:val="0"/>
        <w:pageBreakBefore w:val="0"/>
        <w:kinsoku/>
        <w:wordWrap/>
        <w:overflowPunct/>
        <w:topLinePunct w:val="0"/>
        <w:autoSpaceDE/>
        <w:autoSpaceDN/>
        <w:bidi w:val="0"/>
        <w:adjustRightInd w:val="0"/>
        <w:snapToGrid w:val="0"/>
        <w:spacing w:line="510" w:lineRule="exact"/>
        <w:ind w:firstLine="600" w:firstLineChars="200"/>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（7）乙方在承担上述1-6款一项或多项违约责任后，仍应继续履行合同规定的义务（甲方解除合同的除外）。甲方未能及时追究乙方的任何一项违约责任</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并不表明甲方放弃追究乙方该项或其他违约责任；</w:t>
      </w:r>
    </w:p>
    <w:p w14:paraId="40590AFA">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（8）乙方偿付的违约金不足以弥补甲方损失的，还应按甲方损失尚未弥补的部分，支付赔偿金给甲方。</w:t>
      </w:r>
    </w:p>
    <w:p w14:paraId="466DB5E2">
      <w:pPr>
        <w:keepNext w:val="0"/>
        <w:keepLines w:val="0"/>
        <w:pageBreakBefore w:val="0"/>
        <w:widowControl/>
        <w:kinsoku/>
        <w:wordWrap/>
        <w:overflowPunct/>
        <w:topLinePunct w:val="0"/>
        <w:autoSpaceDE/>
        <w:autoSpaceDN/>
        <w:bidi w:val="0"/>
        <w:adjustRightInd w:val="0"/>
        <w:snapToGrid w:val="0"/>
        <w:spacing w:line="510" w:lineRule="exact"/>
        <w:ind w:firstLine="602" w:firstLineChars="200"/>
        <w:jc w:val="left"/>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第十二条 合同的变更和终止</w:t>
      </w:r>
    </w:p>
    <w:p w14:paraId="22D5867A">
      <w:pPr>
        <w:keepNext w:val="0"/>
        <w:keepLines w:val="0"/>
        <w:pageBreakBefore w:val="0"/>
        <w:widowControl/>
        <w:kinsoku/>
        <w:wordWrap/>
        <w:overflowPunct/>
        <w:topLinePunct w:val="0"/>
        <w:autoSpaceDE/>
        <w:autoSpaceDN/>
        <w:bidi w:val="0"/>
        <w:adjustRightInd w:val="0"/>
        <w:snapToGrid w:val="0"/>
        <w:spacing w:line="510" w:lineRule="exact"/>
        <w:ind w:firstLine="600" w:firstLineChars="200"/>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除《中华人民共和国政府采购法》第49条、第50条第二款规定的情形外，本合同一经签订，甲乙双方不得擅自变更、中止或终止合同。</w:t>
      </w:r>
    </w:p>
    <w:p w14:paraId="6E8852F0">
      <w:pPr>
        <w:keepNext w:val="0"/>
        <w:keepLines w:val="0"/>
        <w:pageBreakBefore w:val="0"/>
        <w:widowControl/>
        <w:kinsoku/>
        <w:wordWrap/>
        <w:overflowPunct/>
        <w:topLinePunct w:val="0"/>
        <w:autoSpaceDE/>
        <w:autoSpaceDN/>
        <w:bidi w:val="0"/>
        <w:adjustRightInd w:val="0"/>
        <w:snapToGrid w:val="0"/>
        <w:spacing w:line="510" w:lineRule="exact"/>
        <w:ind w:firstLine="602" w:firstLineChars="200"/>
        <w:jc w:val="left"/>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第十三条 争议的解决</w:t>
      </w:r>
    </w:p>
    <w:p w14:paraId="5F3596D8">
      <w:pPr>
        <w:keepNext w:val="0"/>
        <w:keepLines w:val="0"/>
        <w:pageBreakBefore w:val="0"/>
        <w:kinsoku/>
        <w:wordWrap/>
        <w:overflowPunct/>
        <w:topLinePunct w:val="0"/>
        <w:autoSpaceDE/>
        <w:autoSpaceDN/>
        <w:bidi w:val="0"/>
        <w:adjustRightInd w:val="0"/>
        <w:snapToGrid w:val="0"/>
        <w:spacing w:line="510" w:lineRule="exact"/>
        <w:ind w:firstLine="600" w:firstLineChars="200"/>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1、因货物的质量问题发生争议，由质量技术监督部门或其指定的质量鉴定机构进行质量鉴定。货物符合标准的，鉴定费由甲方承担；货物不符合质量标准的，鉴定费由乙方承担。</w:t>
      </w:r>
    </w:p>
    <w:p w14:paraId="750E0AB5">
      <w:pPr>
        <w:keepNext w:val="0"/>
        <w:keepLines w:val="0"/>
        <w:pageBreakBefore w:val="0"/>
        <w:kinsoku/>
        <w:wordWrap/>
        <w:overflowPunct/>
        <w:topLinePunct w:val="0"/>
        <w:autoSpaceDE/>
        <w:autoSpaceDN/>
        <w:bidi w:val="0"/>
        <w:adjustRightInd w:val="0"/>
        <w:snapToGrid w:val="0"/>
        <w:spacing w:line="510" w:lineRule="exact"/>
        <w:ind w:firstLine="600" w:firstLineChars="200"/>
        <w:jc w:val="left"/>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2、因履行本合同引起的或与本合同有关的争议，甲、乙双方应首先通过友好协商解决，</w:t>
      </w:r>
      <w:r>
        <w:rPr>
          <w:rFonts w:hint="eastAsia" w:ascii="仿宋_GB2312" w:hAnsi="仿宋_GB2312" w:eastAsia="仿宋_GB2312" w:cs="仿宋_GB2312"/>
          <w:b w:val="0"/>
          <w:bCs w:val="0"/>
          <w:color w:val="auto"/>
          <w:kern w:val="2"/>
          <w:sz w:val="30"/>
          <w:szCs w:val="30"/>
          <w:lang w:val="en-US" w:eastAsia="zh-CN" w:bidi="ar-SA"/>
        </w:rPr>
        <w:t>协商不成，任何一方可向甲方所在地人民法院起诉。</w:t>
      </w:r>
    </w:p>
    <w:p w14:paraId="78F98A75">
      <w:pPr>
        <w:keepNext w:val="0"/>
        <w:keepLines w:val="0"/>
        <w:pageBreakBefore w:val="0"/>
        <w:widowControl/>
        <w:kinsoku/>
        <w:wordWrap/>
        <w:overflowPunct/>
        <w:topLinePunct w:val="0"/>
        <w:autoSpaceDE/>
        <w:autoSpaceDN/>
        <w:bidi w:val="0"/>
        <w:adjustRightInd w:val="0"/>
        <w:snapToGrid w:val="0"/>
        <w:spacing w:line="510" w:lineRule="exact"/>
        <w:ind w:firstLine="602" w:firstLineChars="200"/>
        <w:jc w:val="left"/>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第十四条 合同文件</w:t>
      </w:r>
    </w:p>
    <w:p w14:paraId="4960FD96">
      <w:pPr>
        <w:keepNext w:val="0"/>
        <w:keepLines w:val="0"/>
        <w:pageBreakBefore w:val="0"/>
        <w:kinsoku/>
        <w:wordWrap/>
        <w:overflowPunct/>
        <w:topLinePunct w:val="0"/>
        <w:autoSpaceDE/>
        <w:autoSpaceDN/>
        <w:bidi w:val="0"/>
        <w:adjustRightInd w:val="0"/>
        <w:snapToGrid w:val="0"/>
        <w:spacing w:line="510" w:lineRule="exact"/>
        <w:ind w:firstLine="600" w:firstLineChars="200"/>
        <w:jc w:val="left"/>
        <w:textAlignment w:val="baseline"/>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详细技术说明及其他有关合同项目的特定信息由合同附件予以说明，下列文件构成本合同的组成部分，应该认为是一个整体，彼此相互解释，相互补充。组成合同的多个文件的优先支配地位的次序如下：</w:t>
      </w:r>
    </w:p>
    <w:p w14:paraId="07747615">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1、本合同书</w:t>
      </w:r>
    </w:p>
    <w:p w14:paraId="607FE848">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2、中标通知书</w:t>
      </w:r>
    </w:p>
    <w:p w14:paraId="014CB909">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3、协议</w:t>
      </w:r>
    </w:p>
    <w:p w14:paraId="623040F4">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4、招标文件(含澄清文件</w:t>
      </w:r>
      <w:r>
        <w:rPr>
          <w:rFonts w:hint="eastAsia" w:ascii="仿宋_GB2312" w:hAnsi="仿宋_GB2312" w:eastAsia="仿宋_GB2312" w:cs="仿宋_GB2312"/>
          <w:color w:val="auto"/>
          <w:sz w:val="30"/>
          <w:szCs w:val="30"/>
          <w:lang w:eastAsia="zh-CN"/>
        </w:rPr>
        <w:t>）</w:t>
      </w:r>
    </w:p>
    <w:p w14:paraId="5255356B">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5、投标文件</w:t>
      </w:r>
    </w:p>
    <w:p w14:paraId="7E048870">
      <w:pPr>
        <w:keepNext w:val="0"/>
        <w:keepLines w:val="0"/>
        <w:pageBreakBefore w:val="0"/>
        <w:widowControl/>
        <w:kinsoku/>
        <w:wordWrap/>
        <w:overflowPunct/>
        <w:topLinePunct w:val="0"/>
        <w:autoSpaceDE/>
        <w:autoSpaceDN/>
        <w:bidi w:val="0"/>
        <w:adjustRightInd w:val="0"/>
        <w:snapToGrid w:val="0"/>
        <w:spacing w:line="50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第十五条 合同生效及其他</w:t>
      </w:r>
    </w:p>
    <w:p w14:paraId="799B6D39">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1、如有未尽事宜，由双方依法订立补充合同。</w:t>
      </w:r>
    </w:p>
    <w:p w14:paraId="230C9646">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2、本合同自签订之日起生效。</w:t>
      </w:r>
    </w:p>
    <w:p w14:paraId="0C1D5927">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3、因客观原因未进行下年度采购招标的情况下，为了不影响营养改善计划的正常实施，乙方在合同签订的供货配送时间段内没有发生任何事故，可由乙方按照合同所签标准延续配送。</w:t>
      </w:r>
    </w:p>
    <w:p w14:paraId="366D5636">
      <w:pPr>
        <w:keepNext w:val="0"/>
        <w:keepLines w:val="0"/>
        <w:pageBreakBefore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4、本合同一式</w:t>
      </w:r>
      <w:r>
        <w:rPr>
          <w:rFonts w:hint="eastAsia" w:ascii="仿宋_GB2312" w:hAnsi="仿宋_GB2312" w:eastAsia="仿宋_GB2312" w:cs="仿宋_GB2312"/>
          <w:color w:val="auto"/>
          <w:sz w:val="30"/>
          <w:szCs w:val="30"/>
          <w:u w:val="single"/>
        </w:rPr>
        <w:t xml:space="preserve"> 六 </w:t>
      </w:r>
      <w:r>
        <w:rPr>
          <w:rFonts w:hint="eastAsia" w:ascii="仿宋_GB2312" w:hAnsi="仿宋_GB2312" w:eastAsia="仿宋_GB2312" w:cs="仿宋_GB2312"/>
          <w:color w:val="auto"/>
          <w:sz w:val="30"/>
          <w:szCs w:val="30"/>
        </w:rPr>
        <w:t>份，具有同等法律效力，甲乙双方各执</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 xml:space="preserve">两  </w:t>
      </w:r>
      <w:r>
        <w:rPr>
          <w:rFonts w:hint="eastAsia" w:ascii="仿宋_GB2312" w:hAnsi="仿宋_GB2312" w:eastAsia="仿宋_GB2312" w:cs="仿宋_GB2312"/>
          <w:color w:val="auto"/>
          <w:sz w:val="30"/>
          <w:szCs w:val="30"/>
        </w:rPr>
        <w:t>份，采购中心</w:t>
      </w:r>
      <w:r>
        <w:rPr>
          <w:rFonts w:hint="eastAsia" w:ascii="仿宋_GB2312" w:hAnsi="仿宋_GB2312" w:eastAsia="仿宋_GB2312" w:cs="仿宋_GB2312"/>
          <w:color w:val="auto"/>
          <w:sz w:val="30"/>
          <w:szCs w:val="30"/>
          <w:u w:val="single"/>
        </w:rPr>
        <w:t xml:space="preserve">  一  </w:t>
      </w:r>
      <w:r>
        <w:rPr>
          <w:rFonts w:hint="eastAsia" w:ascii="仿宋_GB2312" w:hAnsi="仿宋_GB2312" w:eastAsia="仿宋_GB2312" w:cs="仿宋_GB2312"/>
          <w:color w:val="auto"/>
          <w:sz w:val="30"/>
          <w:szCs w:val="30"/>
        </w:rPr>
        <w:t>份，采购管理股</w:t>
      </w:r>
      <w:r>
        <w:rPr>
          <w:rFonts w:hint="eastAsia" w:ascii="仿宋_GB2312" w:hAnsi="仿宋_GB2312" w:eastAsia="仿宋_GB2312" w:cs="仿宋_GB2312"/>
          <w:color w:val="auto"/>
          <w:sz w:val="30"/>
          <w:szCs w:val="30"/>
          <w:u w:val="single"/>
        </w:rPr>
        <w:t xml:space="preserve">  一  </w:t>
      </w:r>
      <w:r>
        <w:rPr>
          <w:rFonts w:hint="eastAsia" w:ascii="仿宋_GB2312" w:hAnsi="仿宋_GB2312" w:eastAsia="仿宋_GB2312" w:cs="仿宋_GB2312"/>
          <w:color w:val="auto"/>
          <w:sz w:val="30"/>
          <w:szCs w:val="30"/>
        </w:rPr>
        <w:t>份。</w:t>
      </w:r>
    </w:p>
    <w:p w14:paraId="7EB53750">
      <w:pPr>
        <w:pStyle w:val="2"/>
        <w:rPr>
          <w:rFonts w:hint="eastAsia"/>
          <w:color w:val="auto"/>
        </w:rPr>
      </w:pPr>
    </w:p>
    <w:tbl>
      <w:tblPr>
        <w:tblStyle w:val="9"/>
        <w:tblpPr w:leftFromText="180" w:rightFromText="180" w:vertAnchor="text" w:horzAnchor="page" w:tblpX="1641" w:tblpY="441"/>
        <w:tblOverlap w:val="never"/>
        <w:tblW w:w="91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38"/>
        <w:gridCol w:w="2437"/>
        <w:gridCol w:w="1776"/>
        <w:gridCol w:w="3227"/>
      </w:tblGrid>
      <w:tr w14:paraId="6EC64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1" w:hRule="atLeast"/>
        </w:trPr>
        <w:tc>
          <w:tcPr>
            <w:tcW w:w="1738" w:type="dxa"/>
            <w:tcBorders>
              <w:tl2br w:val="nil"/>
              <w:tr2bl w:val="nil"/>
            </w:tcBorders>
            <w:noWrap w:val="0"/>
            <w:vAlign w:val="center"/>
          </w:tcPr>
          <w:p w14:paraId="77552E8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甲</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方：</w:t>
            </w:r>
          </w:p>
        </w:tc>
        <w:tc>
          <w:tcPr>
            <w:tcW w:w="2437" w:type="dxa"/>
            <w:tcBorders>
              <w:tl2br w:val="nil"/>
              <w:tr2bl w:val="nil"/>
            </w:tcBorders>
            <w:noWrap w:val="0"/>
            <w:vAlign w:val="center"/>
          </w:tcPr>
          <w:p w14:paraId="2F2752E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三原县教育局</w:t>
            </w:r>
          </w:p>
          <w:p w14:paraId="4F9BDFA1">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 xml:space="preserve">（盖章） </w:t>
            </w:r>
          </w:p>
        </w:tc>
        <w:tc>
          <w:tcPr>
            <w:tcW w:w="1776" w:type="dxa"/>
            <w:tcBorders>
              <w:tl2br w:val="nil"/>
              <w:tr2bl w:val="nil"/>
            </w:tcBorders>
            <w:noWrap w:val="0"/>
            <w:vAlign w:val="center"/>
          </w:tcPr>
          <w:p w14:paraId="6B9C59BD">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乙</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方：</w:t>
            </w:r>
          </w:p>
        </w:tc>
        <w:tc>
          <w:tcPr>
            <w:tcW w:w="3227" w:type="dxa"/>
            <w:tcBorders>
              <w:tl2br w:val="nil"/>
              <w:tr2bl w:val="nil"/>
            </w:tcBorders>
            <w:noWrap w:val="0"/>
            <w:vAlign w:val="top"/>
          </w:tcPr>
          <w:p w14:paraId="75E49C2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（盖章）</w:t>
            </w:r>
          </w:p>
        </w:tc>
      </w:tr>
      <w:tr w14:paraId="65D0B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1738" w:type="dxa"/>
            <w:tcBorders>
              <w:tl2br w:val="nil"/>
              <w:tr2bl w:val="nil"/>
            </w:tcBorders>
            <w:noWrap w:val="0"/>
            <w:vAlign w:val="center"/>
          </w:tcPr>
          <w:p w14:paraId="79E4D64B">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法定代表人/授权代表：</w:t>
            </w:r>
          </w:p>
        </w:tc>
        <w:tc>
          <w:tcPr>
            <w:tcW w:w="2437" w:type="dxa"/>
            <w:tcBorders>
              <w:tl2br w:val="nil"/>
              <w:tr2bl w:val="nil"/>
            </w:tcBorders>
            <w:noWrap w:val="0"/>
            <w:vAlign w:val="center"/>
          </w:tcPr>
          <w:p w14:paraId="1E78AB2B">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auto"/>
                <w:sz w:val="30"/>
                <w:szCs w:val="30"/>
                <w:vertAlign w:val="baseline"/>
              </w:rPr>
            </w:pPr>
          </w:p>
        </w:tc>
        <w:tc>
          <w:tcPr>
            <w:tcW w:w="1776" w:type="dxa"/>
            <w:tcBorders>
              <w:tl2br w:val="nil"/>
              <w:tr2bl w:val="nil"/>
            </w:tcBorders>
            <w:noWrap w:val="0"/>
            <w:vAlign w:val="center"/>
          </w:tcPr>
          <w:p w14:paraId="1B159CE1">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法定代表人/授权代表：</w:t>
            </w:r>
          </w:p>
        </w:tc>
        <w:tc>
          <w:tcPr>
            <w:tcW w:w="3227" w:type="dxa"/>
            <w:tcBorders>
              <w:tl2br w:val="nil"/>
              <w:tr2bl w:val="nil"/>
            </w:tcBorders>
            <w:noWrap w:val="0"/>
            <w:vAlign w:val="top"/>
          </w:tcPr>
          <w:p w14:paraId="44568FBD">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color w:val="auto"/>
                <w:sz w:val="30"/>
                <w:szCs w:val="30"/>
                <w:vertAlign w:val="baseline"/>
              </w:rPr>
            </w:pPr>
          </w:p>
        </w:tc>
      </w:tr>
      <w:tr w14:paraId="0A4CC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trPr>
        <w:tc>
          <w:tcPr>
            <w:tcW w:w="1738" w:type="dxa"/>
            <w:tcBorders>
              <w:tl2br w:val="nil"/>
              <w:tr2bl w:val="nil"/>
            </w:tcBorders>
            <w:noWrap w:val="0"/>
            <w:vAlign w:val="top"/>
          </w:tcPr>
          <w:p w14:paraId="5E4AC67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地    址：</w:t>
            </w:r>
          </w:p>
        </w:tc>
        <w:tc>
          <w:tcPr>
            <w:tcW w:w="2437" w:type="dxa"/>
            <w:tcBorders>
              <w:tl2br w:val="nil"/>
              <w:tr2bl w:val="nil"/>
            </w:tcBorders>
            <w:noWrap w:val="0"/>
            <w:vAlign w:val="top"/>
          </w:tcPr>
          <w:p w14:paraId="4CB77579">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三原县</w:t>
            </w:r>
            <w:r>
              <w:rPr>
                <w:rFonts w:hint="eastAsia" w:ascii="仿宋_GB2312" w:hAnsi="仿宋_GB2312" w:eastAsia="仿宋_GB2312" w:cs="仿宋_GB2312"/>
                <w:color w:val="auto"/>
                <w:sz w:val="30"/>
                <w:szCs w:val="30"/>
                <w:lang w:val="en-US" w:eastAsia="zh-CN"/>
              </w:rPr>
              <w:t>城关镇</w:t>
            </w:r>
            <w:r>
              <w:rPr>
                <w:rFonts w:hint="eastAsia" w:ascii="仿宋_GB2312" w:hAnsi="仿宋_GB2312" w:eastAsia="仿宋_GB2312" w:cs="仿宋_GB2312"/>
                <w:color w:val="auto"/>
                <w:sz w:val="30"/>
                <w:szCs w:val="30"/>
              </w:rPr>
              <w:t>秦桐街</w:t>
            </w:r>
          </w:p>
        </w:tc>
        <w:tc>
          <w:tcPr>
            <w:tcW w:w="1776" w:type="dxa"/>
            <w:tcBorders>
              <w:tl2br w:val="nil"/>
              <w:tr2bl w:val="nil"/>
            </w:tcBorders>
            <w:noWrap w:val="0"/>
            <w:vAlign w:val="top"/>
          </w:tcPr>
          <w:p w14:paraId="78056495">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地    址：</w:t>
            </w:r>
          </w:p>
        </w:tc>
        <w:tc>
          <w:tcPr>
            <w:tcW w:w="3227" w:type="dxa"/>
            <w:tcBorders>
              <w:tl2br w:val="nil"/>
              <w:tr2bl w:val="nil"/>
            </w:tcBorders>
            <w:noWrap w:val="0"/>
            <w:vAlign w:val="top"/>
          </w:tcPr>
          <w:p w14:paraId="40D52E7E">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default" w:ascii="仿宋_GB2312" w:hAnsi="仿宋_GB2312" w:eastAsia="仿宋_GB2312" w:cs="仿宋_GB2312"/>
                <w:color w:val="auto"/>
                <w:sz w:val="30"/>
                <w:szCs w:val="30"/>
                <w:vertAlign w:val="baseline"/>
                <w:lang w:val="en-US" w:eastAsia="zh-CN"/>
              </w:rPr>
            </w:pPr>
          </w:p>
        </w:tc>
      </w:tr>
      <w:tr w14:paraId="638E1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1" w:hRule="atLeast"/>
        </w:trPr>
        <w:tc>
          <w:tcPr>
            <w:tcW w:w="1738" w:type="dxa"/>
            <w:tcBorders>
              <w:tl2br w:val="nil"/>
              <w:tr2bl w:val="nil"/>
            </w:tcBorders>
            <w:noWrap w:val="0"/>
            <w:vAlign w:val="top"/>
          </w:tcPr>
          <w:p w14:paraId="54485840">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开户银行：</w:t>
            </w:r>
          </w:p>
        </w:tc>
        <w:tc>
          <w:tcPr>
            <w:tcW w:w="2437" w:type="dxa"/>
            <w:tcBorders>
              <w:tl2br w:val="nil"/>
              <w:tr2bl w:val="nil"/>
            </w:tcBorders>
            <w:noWrap w:val="0"/>
            <w:vAlign w:val="top"/>
          </w:tcPr>
          <w:p w14:paraId="18BAC099">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color w:val="auto"/>
                <w:sz w:val="30"/>
                <w:szCs w:val="30"/>
                <w:vertAlign w:val="baseline"/>
              </w:rPr>
            </w:pPr>
          </w:p>
        </w:tc>
        <w:tc>
          <w:tcPr>
            <w:tcW w:w="1776" w:type="dxa"/>
            <w:tcBorders>
              <w:tl2br w:val="nil"/>
              <w:tr2bl w:val="nil"/>
            </w:tcBorders>
            <w:noWrap w:val="0"/>
            <w:vAlign w:val="top"/>
          </w:tcPr>
          <w:p w14:paraId="748F3D90">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开户银行：</w:t>
            </w:r>
          </w:p>
        </w:tc>
        <w:tc>
          <w:tcPr>
            <w:tcW w:w="3227" w:type="dxa"/>
            <w:tcBorders>
              <w:tl2br w:val="nil"/>
              <w:tr2bl w:val="nil"/>
            </w:tcBorders>
            <w:noWrap w:val="0"/>
            <w:vAlign w:val="top"/>
          </w:tcPr>
          <w:p w14:paraId="4B2825ED">
            <w:pPr>
              <w:keepNext w:val="0"/>
              <w:keepLines w:val="0"/>
              <w:pageBreakBefore w:val="0"/>
              <w:widowControl w:val="0"/>
              <w:kinsoku/>
              <w:wordWrap/>
              <w:overflowPunct/>
              <w:topLinePunct w:val="0"/>
              <w:autoSpaceDE/>
              <w:autoSpaceDN/>
              <w:bidi w:val="0"/>
              <w:adjustRightInd w:val="0"/>
              <w:snapToGrid w:val="0"/>
              <w:spacing w:line="520" w:lineRule="exact"/>
              <w:jc w:val="left"/>
              <w:textAlignment w:val="auto"/>
              <w:rPr>
                <w:rFonts w:hint="default" w:ascii="仿宋_GB2312" w:hAnsi="仿宋_GB2312" w:eastAsia="仿宋_GB2312" w:cs="仿宋_GB2312"/>
                <w:color w:val="auto"/>
                <w:sz w:val="30"/>
                <w:szCs w:val="30"/>
                <w:vertAlign w:val="baseline"/>
                <w:lang w:val="en-US" w:eastAsia="zh-CN"/>
              </w:rPr>
            </w:pPr>
          </w:p>
        </w:tc>
      </w:tr>
      <w:tr w14:paraId="16A83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1738" w:type="dxa"/>
            <w:tcBorders>
              <w:tl2br w:val="nil"/>
              <w:tr2bl w:val="nil"/>
            </w:tcBorders>
            <w:noWrap w:val="0"/>
            <w:vAlign w:val="center"/>
          </w:tcPr>
          <w:p w14:paraId="2F041203">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账    号：</w:t>
            </w:r>
          </w:p>
        </w:tc>
        <w:tc>
          <w:tcPr>
            <w:tcW w:w="2437" w:type="dxa"/>
            <w:tcBorders>
              <w:tl2br w:val="nil"/>
              <w:tr2bl w:val="nil"/>
            </w:tcBorders>
            <w:noWrap w:val="0"/>
            <w:vAlign w:val="center"/>
          </w:tcPr>
          <w:p w14:paraId="13E497AD">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p>
        </w:tc>
        <w:tc>
          <w:tcPr>
            <w:tcW w:w="1776" w:type="dxa"/>
            <w:tcBorders>
              <w:tl2br w:val="nil"/>
              <w:tr2bl w:val="nil"/>
            </w:tcBorders>
            <w:noWrap w:val="0"/>
            <w:vAlign w:val="center"/>
          </w:tcPr>
          <w:p w14:paraId="07AADF8D">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账    号：</w:t>
            </w:r>
          </w:p>
        </w:tc>
        <w:tc>
          <w:tcPr>
            <w:tcW w:w="3227" w:type="dxa"/>
            <w:tcBorders>
              <w:tl2br w:val="nil"/>
              <w:tr2bl w:val="nil"/>
            </w:tcBorders>
            <w:noWrap w:val="0"/>
            <w:vAlign w:val="center"/>
          </w:tcPr>
          <w:p w14:paraId="5875338C">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default" w:ascii="仿宋_GB2312" w:hAnsi="仿宋_GB2312" w:eastAsia="仿宋_GB2312" w:cs="仿宋_GB2312"/>
                <w:color w:val="auto"/>
                <w:sz w:val="30"/>
                <w:szCs w:val="30"/>
                <w:vertAlign w:val="baseline"/>
                <w:lang w:val="en-US" w:eastAsia="zh-CN"/>
              </w:rPr>
            </w:pPr>
          </w:p>
        </w:tc>
      </w:tr>
      <w:tr w14:paraId="476E5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trPr>
        <w:tc>
          <w:tcPr>
            <w:tcW w:w="1738" w:type="dxa"/>
            <w:tcBorders>
              <w:tl2br w:val="nil"/>
              <w:tr2bl w:val="nil"/>
            </w:tcBorders>
            <w:noWrap w:val="0"/>
            <w:vAlign w:val="center"/>
          </w:tcPr>
          <w:p w14:paraId="69C5F74A">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电    话：</w:t>
            </w:r>
          </w:p>
        </w:tc>
        <w:tc>
          <w:tcPr>
            <w:tcW w:w="2437" w:type="dxa"/>
            <w:tcBorders>
              <w:tl2br w:val="nil"/>
              <w:tr2bl w:val="nil"/>
            </w:tcBorders>
            <w:noWrap w:val="0"/>
            <w:vAlign w:val="center"/>
          </w:tcPr>
          <w:p w14:paraId="42F22253">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029-32282130</w:t>
            </w:r>
          </w:p>
        </w:tc>
        <w:tc>
          <w:tcPr>
            <w:tcW w:w="1776" w:type="dxa"/>
            <w:tcBorders>
              <w:tl2br w:val="nil"/>
              <w:tr2bl w:val="nil"/>
            </w:tcBorders>
            <w:noWrap w:val="0"/>
            <w:vAlign w:val="center"/>
          </w:tcPr>
          <w:p w14:paraId="5EF3304A">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电    话：</w:t>
            </w:r>
          </w:p>
        </w:tc>
        <w:tc>
          <w:tcPr>
            <w:tcW w:w="3227" w:type="dxa"/>
            <w:tcBorders>
              <w:tl2br w:val="nil"/>
              <w:tr2bl w:val="nil"/>
            </w:tcBorders>
            <w:noWrap w:val="0"/>
            <w:vAlign w:val="center"/>
          </w:tcPr>
          <w:p w14:paraId="35CCA896">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default" w:ascii="仿宋_GB2312" w:hAnsi="仿宋_GB2312" w:eastAsia="仿宋_GB2312" w:cs="仿宋_GB2312"/>
                <w:color w:val="auto"/>
                <w:sz w:val="30"/>
                <w:szCs w:val="30"/>
                <w:vertAlign w:val="baseline"/>
                <w:lang w:val="en-US" w:eastAsia="zh-CN"/>
              </w:rPr>
            </w:pPr>
          </w:p>
        </w:tc>
      </w:tr>
      <w:tr w14:paraId="7233B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738" w:type="dxa"/>
            <w:tcBorders>
              <w:tl2br w:val="nil"/>
              <w:tr2bl w:val="nil"/>
            </w:tcBorders>
            <w:noWrap w:val="0"/>
            <w:vAlign w:val="center"/>
          </w:tcPr>
          <w:p w14:paraId="76A9E62F">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传    真：</w:t>
            </w:r>
          </w:p>
        </w:tc>
        <w:tc>
          <w:tcPr>
            <w:tcW w:w="2437" w:type="dxa"/>
            <w:tcBorders>
              <w:tl2br w:val="nil"/>
              <w:tr2bl w:val="nil"/>
            </w:tcBorders>
            <w:noWrap w:val="0"/>
            <w:vAlign w:val="center"/>
          </w:tcPr>
          <w:p w14:paraId="3EDDC6C9">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029-32282130</w:t>
            </w:r>
          </w:p>
        </w:tc>
        <w:tc>
          <w:tcPr>
            <w:tcW w:w="1776" w:type="dxa"/>
            <w:tcBorders>
              <w:tl2br w:val="nil"/>
              <w:tr2bl w:val="nil"/>
            </w:tcBorders>
            <w:noWrap w:val="0"/>
            <w:vAlign w:val="center"/>
          </w:tcPr>
          <w:p w14:paraId="7EF1BA4B">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传    真：</w:t>
            </w:r>
          </w:p>
        </w:tc>
        <w:tc>
          <w:tcPr>
            <w:tcW w:w="3227" w:type="dxa"/>
            <w:tcBorders>
              <w:tl2br w:val="nil"/>
              <w:tr2bl w:val="nil"/>
            </w:tcBorders>
            <w:noWrap w:val="0"/>
            <w:vAlign w:val="center"/>
          </w:tcPr>
          <w:p w14:paraId="3DE3E38B">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auto"/>
                <w:sz w:val="30"/>
                <w:szCs w:val="30"/>
                <w:vertAlign w:val="baseline"/>
              </w:rPr>
            </w:pPr>
          </w:p>
        </w:tc>
      </w:tr>
      <w:tr w14:paraId="30457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738" w:type="dxa"/>
            <w:tcBorders>
              <w:tl2br w:val="nil"/>
              <w:tr2bl w:val="nil"/>
            </w:tcBorders>
            <w:noWrap w:val="0"/>
            <w:vAlign w:val="center"/>
          </w:tcPr>
          <w:p w14:paraId="1F9EF2EE">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签约日期：</w:t>
            </w:r>
          </w:p>
        </w:tc>
        <w:tc>
          <w:tcPr>
            <w:tcW w:w="2437" w:type="dxa"/>
            <w:tcBorders>
              <w:tl2br w:val="nil"/>
              <w:tr2bl w:val="nil"/>
            </w:tcBorders>
            <w:noWrap w:val="0"/>
            <w:vAlign w:val="center"/>
          </w:tcPr>
          <w:p w14:paraId="09A07D46">
            <w:pPr>
              <w:keepNext w:val="0"/>
              <w:keepLines w:val="0"/>
              <w:pageBreakBefore w:val="0"/>
              <w:widowControl w:val="0"/>
              <w:kinsoku/>
              <w:wordWrap/>
              <w:overflowPunct/>
              <w:topLinePunct w:val="0"/>
              <w:autoSpaceDE/>
              <w:autoSpaceDN/>
              <w:bidi w:val="0"/>
              <w:adjustRightInd w:val="0"/>
              <w:snapToGrid w:val="0"/>
              <w:spacing w:line="440" w:lineRule="exact"/>
              <w:ind w:firstLine="300" w:firstLineChars="100"/>
              <w:jc w:val="center"/>
              <w:textAlignment w:val="auto"/>
              <w:rPr>
                <w:rFonts w:hint="eastAsia" w:ascii="仿宋_GB2312" w:hAnsi="仿宋_GB2312" w:eastAsia="仿宋_GB2312" w:cs="仿宋_GB2312"/>
                <w:color w:val="auto"/>
                <w:sz w:val="30"/>
                <w:szCs w:val="30"/>
                <w:vertAlign w:val="baseline"/>
              </w:rPr>
            </w:pPr>
            <w:r>
              <w:rPr>
                <w:rFonts w:hint="eastAsia" w:ascii="仿宋_GB2312" w:hAnsi="仿宋_GB2312" w:eastAsia="仿宋_GB2312" w:cs="仿宋_GB2312"/>
                <w:color w:val="auto"/>
                <w:sz w:val="30"/>
                <w:szCs w:val="30"/>
              </w:rPr>
              <w:t>年   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 xml:space="preserve">  日</w:t>
            </w:r>
          </w:p>
        </w:tc>
        <w:tc>
          <w:tcPr>
            <w:tcW w:w="1776" w:type="dxa"/>
            <w:tcBorders>
              <w:tl2br w:val="nil"/>
              <w:tr2bl w:val="nil"/>
            </w:tcBorders>
            <w:noWrap w:val="0"/>
            <w:vAlign w:val="center"/>
          </w:tcPr>
          <w:p w14:paraId="0AB2CA43">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auto"/>
                <w:kern w:val="2"/>
                <w:sz w:val="30"/>
                <w:szCs w:val="30"/>
                <w:vertAlign w:val="baseline"/>
                <w:lang w:val="en-US" w:eastAsia="zh-CN" w:bidi="ar-SA"/>
              </w:rPr>
            </w:pPr>
            <w:r>
              <w:rPr>
                <w:rFonts w:hint="eastAsia" w:ascii="仿宋_GB2312" w:hAnsi="仿宋_GB2312" w:eastAsia="仿宋_GB2312" w:cs="仿宋_GB2312"/>
                <w:color w:val="auto"/>
                <w:sz w:val="30"/>
                <w:szCs w:val="30"/>
              </w:rPr>
              <w:t>签约日期：</w:t>
            </w:r>
          </w:p>
        </w:tc>
        <w:tc>
          <w:tcPr>
            <w:tcW w:w="3227" w:type="dxa"/>
            <w:tcBorders>
              <w:tl2br w:val="nil"/>
              <w:tr2bl w:val="nil"/>
            </w:tcBorders>
            <w:noWrap w:val="0"/>
            <w:vAlign w:val="center"/>
          </w:tcPr>
          <w:p w14:paraId="0354B4F2">
            <w:pPr>
              <w:keepNext w:val="0"/>
              <w:keepLines w:val="0"/>
              <w:pageBreakBefore w:val="0"/>
              <w:widowControl w:val="0"/>
              <w:kinsoku/>
              <w:wordWrap/>
              <w:overflowPunct/>
              <w:topLinePunct w:val="0"/>
              <w:autoSpaceDE/>
              <w:autoSpaceDN/>
              <w:bidi w:val="0"/>
              <w:adjustRightInd w:val="0"/>
              <w:snapToGrid w:val="0"/>
              <w:spacing w:line="440" w:lineRule="exact"/>
              <w:ind w:firstLine="300" w:firstLineChars="100"/>
              <w:jc w:val="center"/>
              <w:textAlignment w:val="auto"/>
              <w:rPr>
                <w:rFonts w:hint="eastAsia" w:ascii="仿宋_GB2312" w:hAnsi="仿宋_GB2312" w:eastAsia="仿宋_GB2312" w:cs="仿宋_GB2312"/>
                <w:color w:val="auto"/>
                <w:kern w:val="2"/>
                <w:sz w:val="30"/>
                <w:szCs w:val="30"/>
                <w:vertAlign w:val="baseline"/>
                <w:lang w:val="en-US" w:eastAsia="zh-CN" w:bidi="ar-SA"/>
              </w:rPr>
            </w:pPr>
            <w:r>
              <w:rPr>
                <w:rFonts w:hint="eastAsia" w:ascii="仿宋_GB2312" w:hAnsi="仿宋_GB2312" w:eastAsia="仿宋_GB2312" w:cs="仿宋_GB2312"/>
                <w:color w:val="auto"/>
                <w:sz w:val="30"/>
                <w:szCs w:val="30"/>
              </w:rPr>
              <w:t>年   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 xml:space="preserve">  日</w:t>
            </w:r>
          </w:p>
        </w:tc>
      </w:tr>
    </w:tbl>
    <w:p w14:paraId="631BE412">
      <w:pPr>
        <w:keepNext w:val="0"/>
        <w:keepLines w:val="0"/>
        <w:pageBreakBefore w:val="0"/>
        <w:widowControl w:val="0"/>
        <w:kinsoku/>
        <w:wordWrap/>
        <w:overflowPunct/>
        <w:topLinePunct w:val="0"/>
        <w:autoSpaceDE/>
        <w:autoSpaceDN/>
        <w:bidi w:val="0"/>
        <w:adjustRightInd/>
        <w:snapToGrid/>
        <w:spacing w:line="20" w:lineRule="exact"/>
        <w:textAlignment w:val="auto"/>
        <w:rPr>
          <w:color w:val="auto"/>
        </w:rPr>
        <w:sectPr>
          <w:footerReference r:id="rId3" w:type="default"/>
          <w:pgSz w:w="11905" w:h="16838" w:orient="landscape"/>
          <w:pgMar w:top="1440" w:right="1803" w:bottom="1440" w:left="1803" w:header="851" w:footer="992" w:gutter="0"/>
          <w:pgBorders>
            <w:top w:val="none" w:sz="0" w:space="0"/>
            <w:left w:val="none" w:sz="0" w:space="0"/>
            <w:bottom w:val="none" w:sz="0" w:space="0"/>
            <w:right w:val="none" w:sz="0" w:space="0"/>
          </w:pgBorders>
          <w:pgNumType w:fmt="decimal" w:start="1"/>
          <w:cols w:space="0" w:num="1"/>
          <w:docGrid w:type="lines" w:linePitch="312" w:charSpace="0"/>
        </w:sectPr>
      </w:pPr>
    </w:p>
    <w:p w14:paraId="64D1F29F">
      <w:pPr>
        <w:keepNext w:val="0"/>
        <w:keepLines w:val="0"/>
        <w:pageBreakBefore w:val="0"/>
        <w:widowControl w:val="0"/>
        <w:kinsoku/>
        <w:wordWrap/>
        <w:overflowPunct/>
        <w:topLinePunct w:val="0"/>
        <w:autoSpaceDE/>
        <w:autoSpaceDN/>
        <w:bidi w:val="0"/>
        <w:adjustRightInd w:val="0"/>
        <w:snapToGrid w:val="0"/>
        <w:spacing w:line="660" w:lineRule="exact"/>
        <w:jc w:val="both"/>
        <w:textAlignment w:val="auto"/>
        <w:rPr>
          <w:rFonts w:hint="default" w:ascii="方正小标宋简体" w:hAnsi="方正小标宋简体" w:eastAsia="方正小标宋简体" w:cs="方正小标宋简体"/>
          <w:color w:val="auto"/>
          <w:sz w:val="22"/>
          <w:szCs w:val="22"/>
          <w:lang w:val="en-US" w:eastAsia="zh-CN"/>
        </w:rPr>
      </w:pPr>
      <w:r>
        <w:rPr>
          <w:rFonts w:hint="eastAsia" w:ascii="方正小标宋简体" w:hAnsi="方正小标宋简体" w:eastAsia="方正小标宋简体" w:cs="方正小标宋简体"/>
          <w:color w:val="auto"/>
          <w:sz w:val="22"/>
          <w:szCs w:val="22"/>
          <w:lang w:val="en-US" w:eastAsia="zh-CN"/>
        </w:rPr>
        <w:t>（包2-包7合同模板）</w:t>
      </w:r>
    </w:p>
    <w:p w14:paraId="6751E007">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49ED2222">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2AECD2D5">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32"/>
          <w:szCs w:val="32"/>
          <w:lang w:eastAsia="zh-CN"/>
        </w:rPr>
      </w:pPr>
      <w:r>
        <w:rPr>
          <w:rFonts w:hint="eastAsia" w:ascii="方正小标宋简体" w:hAnsi="方正小标宋简体" w:eastAsia="方正小标宋简体" w:cs="方正小标宋简体"/>
          <w:color w:val="auto"/>
          <w:sz w:val="44"/>
          <w:szCs w:val="44"/>
          <w:lang w:eastAsia="zh-CN"/>
        </w:rPr>
        <w:t>三原县2026年校园餐及农村义务教育学生营养改善计划政府采购</w:t>
      </w:r>
      <w:r>
        <w:rPr>
          <w:rFonts w:hint="eastAsia" w:ascii="方正小标宋简体" w:hAnsi="方正小标宋简体" w:eastAsia="方正小标宋简体" w:cs="方正小标宋简体"/>
          <w:color w:val="auto"/>
          <w:sz w:val="44"/>
          <w:szCs w:val="44"/>
        </w:rPr>
        <w:t>合同</w:t>
      </w:r>
    </w:p>
    <w:p w14:paraId="07DCA7CB">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30"/>
          <w:szCs w:val="30"/>
          <w:lang w:eastAsia="zh-CN"/>
        </w:rPr>
      </w:pPr>
      <w:r>
        <w:rPr>
          <w:rFonts w:hint="eastAsia" w:ascii="方正小标宋简体" w:hAnsi="方正小标宋简体" w:eastAsia="方正小标宋简体" w:cs="方正小标宋简体"/>
          <w:color w:val="auto"/>
          <w:sz w:val="30"/>
          <w:szCs w:val="30"/>
          <w:lang w:eastAsia="zh-CN"/>
        </w:rPr>
        <w:t>（</w:t>
      </w:r>
      <w:r>
        <w:rPr>
          <w:rFonts w:hint="eastAsia" w:ascii="方正小标宋简体" w:hAnsi="方正小标宋简体" w:eastAsia="方正小标宋简体" w:cs="方正小标宋简体"/>
          <w:color w:val="auto"/>
          <w:sz w:val="30"/>
          <w:szCs w:val="30"/>
        </w:rPr>
        <w:t>项目编号：</w:t>
      </w:r>
      <w:r>
        <w:rPr>
          <w:rFonts w:hint="eastAsia" w:ascii="方正小标宋简体" w:hAnsi="方正小标宋简体" w:eastAsia="方正小标宋简体" w:cs="方正小标宋简体"/>
          <w:color w:val="auto"/>
          <w:sz w:val="30"/>
          <w:szCs w:val="30"/>
          <w:lang w:val="en-US" w:eastAsia="zh-CN"/>
        </w:rPr>
        <w:t xml:space="preserve">     </w:t>
      </w:r>
      <w:r>
        <w:rPr>
          <w:rFonts w:hint="eastAsia" w:ascii="方正小标宋简体" w:hAnsi="方正小标宋简体" w:eastAsia="方正小标宋简体" w:cs="方正小标宋简体"/>
          <w:color w:val="auto"/>
          <w:sz w:val="30"/>
          <w:szCs w:val="30"/>
          <w:lang w:eastAsia="zh-CN"/>
        </w:rPr>
        <w:t>）</w:t>
      </w:r>
    </w:p>
    <w:p w14:paraId="5F626DC7">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438D0729">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0B71916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516D3A3A">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19F042A7">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22DEF862">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468CF784">
      <w:pPr>
        <w:pStyle w:val="2"/>
        <w:rPr>
          <w:rFonts w:hint="eastAsia" w:ascii="方正小标宋简体" w:hAnsi="方正小标宋简体" w:eastAsia="方正小标宋简体" w:cs="方正小标宋简体"/>
          <w:color w:val="auto"/>
          <w:sz w:val="44"/>
          <w:szCs w:val="44"/>
        </w:rPr>
      </w:pPr>
    </w:p>
    <w:p w14:paraId="32BA7588">
      <w:pPr>
        <w:rPr>
          <w:rFonts w:hint="eastAsia"/>
          <w:color w:val="auto"/>
        </w:rPr>
      </w:pPr>
    </w:p>
    <w:p w14:paraId="56D3B66E">
      <w:pPr>
        <w:rPr>
          <w:rFonts w:hint="eastAsia"/>
          <w:color w:val="auto"/>
        </w:rPr>
      </w:pPr>
    </w:p>
    <w:p w14:paraId="7AA1C914">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64D88195">
      <w:pPr>
        <w:rPr>
          <w:rFonts w:hint="eastAsia"/>
          <w:color w:val="auto"/>
        </w:rPr>
      </w:pPr>
    </w:p>
    <w:p w14:paraId="124D94CC">
      <w:pPr>
        <w:keepNext w:val="0"/>
        <w:keepLines w:val="0"/>
        <w:pageBreakBefore w:val="0"/>
        <w:widowControl w:val="0"/>
        <w:kinsoku/>
        <w:wordWrap/>
        <w:overflowPunct/>
        <w:topLinePunct w:val="0"/>
        <w:autoSpaceDE/>
        <w:autoSpaceDN/>
        <w:bidi w:val="0"/>
        <w:adjustRightInd w:val="0"/>
        <w:snapToGrid w:val="0"/>
        <w:spacing w:line="640" w:lineRule="exact"/>
        <w:ind w:firstLine="1800" w:firstLineChars="600"/>
        <w:jc w:val="both"/>
        <w:textAlignment w:val="auto"/>
        <w:rPr>
          <w:rFonts w:hint="eastAsia" w:ascii="仿宋" w:hAnsi="仿宋" w:eastAsia="仿宋" w:cs="等线"/>
          <w:b/>
          <w:bCs/>
          <w:color w:val="auto"/>
          <w:sz w:val="30"/>
          <w:szCs w:val="30"/>
          <w:lang w:val="en-US" w:eastAsia="zh-CN"/>
        </w:rPr>
      </w:pPr>
      <w:r>
        <w:rPr>
          <w:rFonts w:hint="eastAsia" w:ascii="仿宋_GB2312" w:hAnsi="仿宋_GB2312" w:eastAsia="仿宋_GB2312" w:cs="仿宋_GB2312"/>
          <w:color w:val="auto"/>
          <w:sz w:val="30"/>
          <w:szCs w:val="30"/>
        </w:rPr>
        <w:t>甲方：</w:t>
      </w:r>
      <w:r>
        <w:rPr>
          <w:rFonts w:hint="eastAsia" w:ascii="仿宋" w:hAnsi="仿宋" w:eastAsia="仿宋" w:cs="等线"/>
          <w:b/>
          <w:bCs/>
          <w:color w:val="auto"/>
          <w:sz w:val="30"/>
          <w:szCs w:val="30"/>
          <w:u w:val="single"/>
          <w:lang w:val="en-US" w:eastAsia="zh-CN"/>
        </w:rPr>
        <w:t xml:space="preserve">       </w:t>
      </w:r>
      <w:r>
        <w:rPr>
          <w:rFonts w:hint="eastAsia" w:ascii="仿宋_GB2312" w:hAnsi="仿宋_GB2312" w:eastAsia="仿宋_GB2312" w:cs="仿宋_GB2312"/>
          <w:b/>
          <w:bCs/>
          <w:color w:val="auto"/>
          <w:sz w:val="30"/>
          <w:szCs w:val="30"/>
          <w:u w:val="single"/>
          <w:lang w:val="en-US" w:eastAsia="zh-CN"/>
        </w:rPr>
        <w:t xml:space="preserve"> 三原县教育局 </w:t>
      </w:r>
      <w:r>
        <w:rPr>
          <w:rFonts w:hint="eastAsia" w:ascii="仿宋" w:hAnsi="仿宋" w:eastAsia="仿宋" w:cs="等线"/>
          <w:b/>
          <w:bCs/>
          <w:color w:val="auto"/>
          <w:sz w:val="30"/>
          <w:szCs w:val="30"/>
          <w:u w:val="single"/>
          <w:lang w:val="en-US" w:eastAsia="zh-CN"/>
        </w:rPr>
        <w:t xml:space="preserve">       </w:t>
      </w:r>
      <w:r>
        <w:rPr>
          <w:rFonts w:hint="eastAsia" w:ascii="仿宋" w:hAnsi="仿宋" w:eastAsia="仿宋" w:cs="等线"/>
          <w:b/>
          <w:bCs/>
          <w:color w:val="auto"/>
          <w:sz w:val="30"/>
          <w:szCs w:val="30"/>
          <w:lang w:val="en-US" w:eastAsia="zh-CN"/>
        </w:rPr>
        <w:t xml:space="preserve">    </w:t>
      </w:r>
    </w:p>
    <w:p w14:paraId="3EA28843">
      <w:pPr>
        <w:keepNext w:val="0"/>
        <w:keepLines w:val="0"/>
        <w:pageBreakBefore w:val="0"/>
        <w:widowControl w:val="0"/>
        <w:kinsoku/>
        <w:wordWrap/>
        <w:overflowPunct/>
        <w:topLinePunct w:val="0"/>
        <w:autoSpaceDE/>
        <w:autoSpaceDN/>
        <w:bidi w:val="0"/>
        <w:adjustRightInd w:val="0"/>
        <w:snapToGrid w:val="0"/>
        <w:spacing w:line="640" w:lineRule="exact"/>
        <w:ind w:firstLine="1800" w:firstLineChars="600"/>
        <w:jc w:val="both"/>
        <w:textAlignment w:val="auto"/>
        <w:rPr>
          <w:rFonts w:hint="eastAsia" w:ascii="仿宋" w:hAnsi="仿宋" w:eastAsia="仿宋" w:cs="等线"/>
          <w:b/>
          <w:bCs/>
          <w:color w:val="auto"/>
          <w:sz w:val="30"/>
          <w:szCs w:val="30"/>
          <w:u w:val="single"/>
          <w:lang w:val="en-US" w:eastAsia="zh-CN"/>
        </w:rPr>
      </w:pPr>
      <w:r>
        <w:rPr>
          <w:rFonts w:hint="eastAsia" w:ascii="仿宋_GB2312" w:hAnsi="仿宋_GB2312" w:eastAsia="仿宋_GB2312" w:cs="仿宋_GB2312"/>
          <w:color w:val="auto"/>
          <w:sz w:val="30"/>
          <w:szCs w:val="30"/>
        </w:rPr>
        <w:t>乙方：</w:t>
      </w:r>
      <w:r>
        <w:rPr>
          <w:rFonts w:hint="eastAsia" w:ascii="仿宋" w:hAnsi="仿宋" w:eastAsia="仿宋" w:cs="等线"/>
          <w:color w:val="auto"/>
          <w:sz w:val="30"/>
          <w:szCs w:val="30"/>
          <w:u w:val="single"/>
          <w:lang w:val="en-US" w:eastAsia="zh-CN"/>
        </w:rPr>
        <w:t xml:space="preserve">    </w:t>
      </w:r>
      <w:r>
        <w:rPr>
          <w:rFonts w:hint="eastAsia" w:ascii="仿宋_GB2312" w:hAnsi="仿宋_GB2312" w:eastAsia="仿宋_GB2312" w:cs="仿宋_GB2312"/>
          <w:b/>
          <w:bCs/>
          <w:color w:val="auto"/>
          <w:sz w:val="30"/>
          <w:szCs w:val="30"/>
          <w:u w:val="single"/>
          <w:lang w:val="en-US" w:eastAsia="zh-CN"/>
        </w:rPr>
        <w:t xml:space="preserve">     </w:t>
      </w:r>
      <w:r>
        <w:rPr>
          <w:rFonts w:hint="eastAsia" w:ascii="仿宋" w:hAnsi="仿宋" w:eastAsia="仿宋" w:cs="等线"/>
          <w:b/>
          <w:bCs/>
          <w:color w:val="auto"/>
          <w:sz w:val="30"/>
          <w:szCs w:val="30"/>
          <w:u w:val="single"/>
          <w:lang w:val="en-US" w:eastAsia="zh-CN"/>
        </w:rPr>
        <w:t xml:space="preserve">   </w:t>
      </w:r>
    </w:p>
    <w:p w14:paraId="5D3C5651">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p>
    <w:p w14:paraId="7B474310">
      <w:pPr>
        <w:keepNext/>
        <w:widowControl w:val="0"/>
        <w:numPr>
          <w:ilvl w:val="0"/>
          <w:numId w:val="0"/>
        </w:numPr>
        <w:autoSpaceDE w:val="0"/>
        <w:autoSpaceDN w:val="0"/>
        <w:adjustRightInd w:val="0"/>
        <w:ind w:leftChars="0"/>
        <w:jc w:val="both"/>
        <w:outlineLvl w:val="3"/>
        <w:rPr>
          <w:rFonts w:hint="eastAsia" w:ascii="方正姚体" w:hAnsi="Times New Roman" w:eastAsia="方正姚体" w:cs="Times New Roman"/>
          <w:color w:val="auto"/>
          <w:kern w:val="2"/>
          <w:sz w:val="36"/>
          <w:szCs w:val="32"/>
          <w:lang w:val="en-US" w:eastAsia="zh-CN" w:bidi="ar-SA"/>
        </w:rPr>
      </w:pPr>
    </w:p>
    <w:p w14:paraId="1D22973B">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default"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2026年  月</w:t>
      </w:r>
    </w:p>
    <w:p w14:paraId="72FD9F0D">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sectPr>
          <w:pgSz w:w="11905" w:h="16838" w:orient="landscape"/>
          <w:pgMar w:top="1440" w:right="1803" w:bottom="1440" w:left="1803" w:header="851" w:footer="992" w:gutter="0"/>
          <w:pgBorders>
            <w:top w:val="none" w:sz="0" w:space="0"/>
            <w:left w:val="none" w:sz="0" w:space="0"/>
            <w:bottom w:val="none" w:sz="0" w:space="0"/>
            <w:right w:val="none" w:sz="0" w:space="0"/>
          </w:pgBorders>
          <w:pgNumType w:fmt="decimal"/>
          <w:cols w:space="0" w:num="1"/>
          <w:docGrid w:type="lines" w:linePitch="312" w:charSpace="0"/>
        </w:sectPr>
      </w:pPr>
    </w:p>
    <w:p w14:paraId="285A025F">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三原县2026年校园餐及农村义务教育学生营养改善计划政府采购</w:t>
      </w:r>
      <w:r>
        <w:rPr>
          <w:rFonts w:hint="eastAsia" w:ascii="方正小标宋简体" w:hAnsi="方正小标宋简体" w:eastAsia="方正小标宋简体" w:cs="方正小标宋简体"/>
          <w:color w:val="auto"/>
          <w:sz w:val="44"/>
          <w:szCs w:val="44"/>
        </w:rPr>
        <w:t>合同</w:t>
      </w:r>
    </w:p>
    <w:p w14:paraId="1A12413A">
      <w:pPr>
        <w:pStyle w:val="2"/>
        <w:rPr>
          <w:rFonts w:hint="eastAsia"/>
          <w:color w:val="auto"/>
        </w:rPr>
      </w:pPr>
    </w:p>
    <w:p w14:paraId="27B1217B">
      <w:pPr>
        <w:keepNext w:val="0"/>
        <w:keepLines w:val="0"/>
        <w:pageBreakBefore w:val="0"/>
        <w:widowControl w:val="0"/>
        <w:kinsoku/>
        <w:wordWrap/>
        <w:overflowPunct/>
        <w:topLinePunct w:val="0"/>
        <w:autoSpaceDE/>
        <w:autoSpaceDN/>
        <w:bidi w:val="0"/>
        <w:adjustRightInd w:val="0"/>
        <w:snapToGrid w:val="0"/>
        <w:spacing w:line="550" w:lineRule="exact"/>
        <w:jc w:val="left"/>
        <w:textAlignment w:val="auto"/>
        <w:rPr>
          <w:rFonts w:hint="eastAsia" w:ascii="仿宋_GB2312" w:hAnsi="仿宋_GB2312" w:eastAsia="仿宋_GB2312" w:cs="仿宋_GB2312"/>
          <w:b/>
          <w:bCs/>
          <w:color w:val="auto"/>
          <w:sz w:val="30"/>
          <w:szCs w:val="30"/>
          <w:u w:val="single"/>
          <w:lang w:val="en-US" w:eastAsia="zh-CN"/>
        </w:rPr>
      </w:pPr>
      <w:r>
        <w:rPr>
          <w:rFonts w:hint="eastAsia" w:ascii="仿宋_GB2312" w:hAnsi="仿宋_GB2312" w:eastAsia="仿宋_GB2312" w:cs="仿宋_GB2312"/>
          <w:color w:val="auto"/>
          <w:sz w:val="30"/>
          <w:szCs w:val="30"/>
        </w:rPr>
        <w:t>甲方：</w:t>
      </w:r>
      <w:r>
        <w:rPr>
          <w:rFonts w:hint="eastAsia" w:ascii="仿宋_GB2312" w:hAnsi="仿宋_GB2312" w:eastAsia="仿宋_GB2312" w:cs="仿宋_GB2312"/>
          <w:b/>
          <w:bCs/>
          <w:color w:val="auto"/>
          <w:sz w:val="30"/>
          <w:szCs w:val="30"/>
          <w:u w:val="single"/>
          <w:lang w:val="en-US" w:eastAsia="zh-CN"/>
        </w:rPr>
        <w:t xml:space="preserve">         </w:t>
      </w:r>
      <w:r>
        <w:rPr>
          <w:rFonts w:hint="eastAsia" w:ascii="仿宋_GB2312" w:hAnsi="仿宋_GB2312" w:eastAsia="仿宋_GB2312" w:cs="仿宋_GB2312"/>
          <w:b/>
          <w:bCs/>
          <w:color w:val="auto"/>
          <w:sz w:val="30"/>
          <w:szCs w:val="30"/>
          <w:u w:val="single"/>
        </w:rPr>
        <w:t>三原县教育局</w:t>
      </w:r>
      <w:r>
        <w:rPr>
          <w:rFonts w:hint="eastAsia" w:ascii="仿宋_GB2312" w:hAnsi="仿宋_GB2312" w:eastAsia="仿宋_GB2312" w:cs="仿宋_GB2312"/>
          <w:b/>
          <w:bCs/>
          <w:color w:val="auto"/>
          <w:sz w:val="30"/>
          <w:szCs w:val="30"/>
          <w:u w:val="single"/>
          <w:lang w:val="en-US" w:eastAsia="zh-CN"/>
        </w:rPr>
        <w:t xml:space="preserve">          </w:t>
      </w:r>
    </w:p>
    <w:p w14:paraId="6CBC3A1E">
      <w:pPr>
        <w:keepNext w:val="0"/>
        <w:keepLines w:val="0"/>
        <w:pageBreakBefore w:val="0"/>
        <w:widowControl w:val="0"/>
        <w:kinsoku/>
        <w:wordWrap/>
        <w:overflowPunct/>
        <w:topLinePunct w:val="0"/>
        <w:autoSpaceDE/>
        <w:autoSpaceDN/>
        <w:bidi w:val="0"/>
        <w:adjustRightInd w:val="0"/>
        <w:snapToGrid w:val="0"/>
        <w:spacing w:line="550" w:lineRule="exact"/>
        <w:jc w:val="left"/>
        <w:textAlignment w:val="auto"/>
        <w:rPr>
          <w:rFonts w:hint="eastAsia" w:ascii="仿宋_GB2312" w:hAnsi="仿宋_GB2312" w:eastAsia="仿宋_GB2312" w:cs="仿宋_GB2312"/>
          <w:b/>
          <w:bCs/>
          <w:color w:val="auto"/>
          <w:sz w:val="30"/>
          <w:szCs w:val="30"/>
          <w:u w:val="single"/>
          <w:lang w:val="en-US" w:eastAsia="zh-CN"/>
        </w:rPr>
      </w:pPr>
      <w:r>
        <w:rPr>
          <w:rFonts w:hint="eastAsia" w:ascii="仿宋_GB2312" w:hAnsi="仿宋_GB2312" w:eastAsia="仿宋_GB2312" w:cs="仿宋_GB2312"/>
          <w:color w:val="auto"/>
          <w:sz w:val="30"/>
          <w:szCs w:val="30"/>
        </w:rPr>
        <w:t>乙方：</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b/>
          <w:bCs/>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lang w:val="en-US" w:eastAsia="zh-CN"/>
        </w:rPr>
        <w:t xml:space="preserve">      </w:t>
      </w:r>
    </w:p>
    <w:p w14:paraId="75CF3D8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根据《中华人民共和国政府采购法》及实施条例、《中华人民共和国民法典》和甲方（</w:t>
      </w:r>
      <w:r>
        <w:rPr>
          <w:rFonts w:hint="eastAsia" w:ascii="仿宋_GB2312" w:hAnsi="仿宋_GB2312" w:eastAsia="仿宋_GB2312" w:cs="仿宋_GB2312"/>
          <w:color w:val="auto"/>
          <w:sz w:val="30"/>
          <w:szCs w:val="30"/>
          <w:lang w:val="en-US" w:eastAsia="zh-CN"/>
        </w:rPr>
        <w:t>采购项目：</w:t>
      </w:r>
      <w:r>
        <w:rPr>
          <w:rFonts w:hint="eastAsia" w:ascii="仿宋_GB2312" w:hAnsi="仿宋_GB2312" w:eastAsia="仿宋_GB2312" w:cs="仿宋_GB2312"/>
          <w:color w:val="auto"/>
          <w:sz w:val="30"/>
          <w:szCs w:val="30"/>
          <w:u w:val="single"/>
          <w:lang w:val="en-US" w:eastAsia="zh-CN"/>
        </w:rPr>
        <w:t>三原县2026年校园餐及农村义务教育学生营养改善计划政府采购</w:t>
      </w:r>
      <w:r>
        <w:rPr>
          <w:rFonts w:hint="eastAsia" w:ascii="仿宋" w:hAnsi="仿宋" w:eastAsia="仿宋" w:cs="等线"/>
          <w:b/>
          <w:bCs/>
          <w:color w:val="auto"/>
          <w:sz w:val="30"/>
          <w:szCs w:val="30"/>
          <w:u w:val="single"/>
          <w:lang w:val="en-US" w:eastAsia="zh-CN"/>
        </w:rPr>
        <w:t xml:space="preserve"> </w:t>
      </w:r>
      <w:r>
        <w:rPr>
          <w:rFonts w:hint="eastAsia" w:ascii="仿宋_GB2312" w:hAnsi="仿宋_GB2312" w:eastAsia="仿宋_GB2312" w:cs="仿宋_GB2312"/>
          <w:color w:val="auto"/>
          <w:sz w:val="30"/>
          <w:szCs w:val="30"/>
          <w:lang w:val="en-US" w:eastAsia="zh-CN"/>
        </w:rPr>
        <w:t>采购项目编号：</w:t>
      </w:r>
      <w:r>
        <w:rPr>
          <w:rFonts w:hint="eastAsia" w:ascii="仿宋_GB2312" w:hAnsi="仿宋_GB2312" w:eastAsia="仿宋_GB2312" w:cs="仿宋_GB2312"/>
          <w:b/>
          <w:bCs/>
          <w:color w:val="auto"/>
          <w:sz w:val="30"/>
          <w:szCs w:val="30"/>
          <w:u w:val="single"/>
          <w:lang w:val="en-US" w:eastAsia="zh-CN"/>
        </w:rPr>
        <w:t xml:space="preserve">       </w:t>
      </w:r>
      <w:r>
        <w:rPr>
          <w:rFonts w:hint="eastAsia" w:ascii="仿宋_GB2312" w:hAnsi="仿宋_GB2312" w:eastAsia="仿宋_GB2312" w:cs="仿宋_GB2312"/>
          <w:color w:val="auto"/>
          <w:sz w:val="30"/>
          <w:szCs w:val="30"/>
        </w:rPr>
        <w:t>）的招标文件、投标文件等有关规定，甲、乙双方在平等自愿原则下签订本合同，并共同遵守如下条款：</w:t>
      </w:r>
    </w:p>
    <w:p w14:paraId="59202D0A">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第一条 合同标的及数量</w:t>
      </w:r>
    </w:p>
    <w:p w14:paraId="0330262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1、乙方向甲方</w:t>
      </w:r>
      <w:r>
        <w:rPr>
          <w:rFonts w:hint="eastAsia" w:ascii="仿宋_GB2312" w:hAnsi="仿宋_GB2312" w:eastAsia="仿宋_GB2312" w:cs="仿宋_GB2312"/>
          <w:color w:val="auto"/>
          <w:sz w:val="30"/>
          <w:szCs w:val="30"/>
          <w:lang w:val="en-US" w:eastAsia="zh-CN"/>
        </w:rPr>
        <w:t>所</w:t>
      </w:r>
      <w:r>
        <w:rPr>
          <w:rFonts w:hint="eastAsia" w:ascii="仿宋_GB2312" w:hAnsi="仿宋_GB2312" w:eastAsia="仿宋_GB2312" w:cs="仿宋_GB2312"/>
          <w:color w:val="auto"/>
          <w:sz w:val="30"/>
          <w:szCs w:val="30"/>
        </w:rPr>
        <w:t>提供的货物以食谱中所列货物为依据，食谱中所列的鲜菜数量为净菜数量</w:t>
      </w:r>
      <w:r>
        <w:rPr>
          <w:rFonts w:hint="eastAsia" w:ascii="仿宋_GB2312" w:hAnsi="仿宋_GB2312" w:eastAsia="仿宋_GB2312" w:cs="仿宋_GB2312"/>
          <w:color w:val="auto"/>
          <w:sz w:val="30"/>
          <w:szCs w:val="30"/>
          <w:lang w:eastAsia="zh-CN"/>
        </w:rPr>
        <w:t>，数</w:t>
      </w:r>
      <w:r>
        <w:rPr>
          <w:rFonts w:hint="eastAsia" w:ascii="仿宋_GB2312" w:hAnsi="仿宋_GB2312" w:eastAsia="仿宋_GB2312" w:cs="仿宋_GB2312"/>
          <w:color w:val="auto"/>
          <w:sz w:val="30"/>
          <w:szCs w:val="30"/>
        </w:rPr>
        <w:t>量为参考用量，</w:t>
      </w:r>
      <w:r>
        <w:rPr>
          <w:rFonts w:hint="eastAsia" w:ascii="仿宋_GB2312" w:hAnsi="仿宋_GB2312" w:eastAsia="仿宋_GB2312" w:cs="仿宋_GB2312"/>
          <w:color w:val="auto"/>
          <w:sz w:val="30"/>
          <w:szCs w:val="30"/>
          <w:lang w:val="en-US" w:eastAsia="zh-CN"/>
        </w:rPr>
        <w:t>甲方</w:t>
      </w:r>
      <w:r>
        <w:rPr>
          <w:rFonts w:hint="eastAsia" w:ascii="仿宋_GB2312" w:hAnsi="仿宋_GB2312" w:eastAsia="仿宋_GB2312" w:cs="仿宋_GB2312"/>
          <w:color w:val="auto"/>
          <w:sz w:val="30"/>
          <w:szCs w:val="30"/>
        </w:rPr>
        <w:t>有权根据季节、价格、学校等实际情况调整品种和数量，以确保每个学生每天食材总价</w:t>
      </w:r>
      <w:r>
        <w:rPr>
          <w:rFonts w:hint="eastAsia" w:ascii="仿宋_GB2312" w:hAnsi="仿宋_GB2312" w:eastAsia="仿宋_GB2312" w:cs="仿宋_GB2312"/>
          <w:color w:val="auto"/>
          <w:sz w:val="30"/>
          <w:szCs w:val="30"/>
          <w:lang w:val="en-US" w:eastAsia="zh-CN"/>
        </w:rPr>
        <w:t>平均</w:t>
      </w:r>
      <w:r>
        <w:rPr>
          <w:rFonts w:hint="eastAsia" w:ascii="仿宋_GB2312" w:hAnsi="仿宋_GB2312" w:eastAsia="仿宋_GB2312" w:cs="仿宋_GB2312"/>
          <w:color w:val="auto"/>
          <w:sz w:val="30"/>
          <w:szCs w:val="30"/>
        </w:rPr>
        <w:t>达到</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元标准。</w:t>
      </w:r>
    </w:p>
    <w:p w14:paraId="6787447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2、交付的货物以学校向乙方提供的清单为准。</w:t>
      </w:r>
    </w:p>
    <w:p w14:paraId="16E5C39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每次配送食材的配送量严格按照学校需求量（以食谱为准）执行，且必须保证每个学校的需求。因运输装卸过程中造成的损耗（例如包装严重变形、破损、食品污染、变异等）、发现的破损、变异食品必须无条件退换。</w:t>
      </w:r>
    </w:p>
    <w:p w14:paraId="163F31C6">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第二条 合同价款</w:t>
      </w:r>
    </w:p>
    <w:p w14:paraId="4D93A2F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1、合同预算总价为人民币大写：</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元</w:t>
      </w:r>
      <w:r>
        <w:rPr>
          <w:rFonts w:hint="eastAsia" w:ascii="仿宋_GB2312" w:hAnsi="仿宋_GB2312" w:eastAsia="仿宋_GB2312" w:cs="仿宋_GB2312"/>
          <w:color w:val="auto"/>
          <w:sz w:val="30"/>
          <w:szCs w:val="30"/>
        </w:rPr>
        <w:t>。</w:t>
      </w:r>
    </w:p>
    <w:p w14:paraId="301611A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2、本合同预算总价是</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的合同价款，结算时按实际发生量</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据实结算。</w:t>
      </w:r>
    </w:p>
    <w:p w14:paraId="6F91D7DF">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第三条 货款支付</w:t>
      </w:r>
    </w:p>
    <w:p w14:paraId="6C46E48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1、货款结算方式为每生每天按照</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元的标准配备食材，全年按照200天计算。具体供货天数和人数以实际为准，据实结算。如遇节假日按到校当天计算。原则上每</w:t>
      </w:r>
      <w:r>
        <w:rPr>
          <w:rFonts w:hint="eastAsia" w:ascii="仿宋_GB2312" w:hAnsi="仿宋_GB2312" w:eastAsia="仿宋_GB2312" w:cs="仿宋_GB2312"/>
          <w:color w:val="auto"/>
          <w:sz w:val="30"/>
          <w:szCs w:val="30"/>
          <w:lang w:val="en-US" w:eastAsia="zh-CN"/>
        </w:rPr>
        <w:t>两个</w:t>
      </w:r>
      <w:r>
        <w:rPr>
          <w:rFonts w:hint="eastAsia" w:ascii="仿宋_GB2312" w:hAnsi="仿宋_GB2312" w:eastAsia="仿宋_GB2312" w:cs="仿宋_GB2312"/>
          <w:color w:val="auto"/>
          <w:sz w:val="30"/>
          <w:szCs w:val="30"/>
        </w:rPr>
        <w:t>月结算一次，资金结算严格按照专项资金管理办法相关程序办理。</w:t>
      </w:r>
    </w:p>
    <w:p w14:paraId="3762C12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2、结算办法</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实际供应天数×学生数×对应供应金额</w:t>
      </w:r>
    </w:p>
    <w:p w14:paraId="159D6C2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当天配送食材最终结算价格按照</w:t>
      </w:r>
      <w:r>
        <w:rPr>
          <w:rFonts w:hint="eastAsia" w:ascii="仿宋_GB2312" w:hAnsi="仿宋_GB2312" w:eastAsia="仿宋_GB2312" w:cs="仿宋_GB2312"/>
          <w:color w:val="auto"/>
          <w:sz w:val="30"/>
          <w:szCs w:val="30"/>
          <w:lang w:val="en-US" w:eastAsia="zh-CN"/>
        </w:rPr>
        <w:t>下浮</w:t>
      </w:r>
      <w:r>
        <w:rPr>
          <w:rFonts w:hint="eastAsia" w:ascii="仿宋_GB2312" w:hAnsi="仿宋_GB2312" w:eastAsia="仿宋_GB2312" w:cs="仿宋_GB2312"/>
          <w:color w:val="auto"/>
          <w:sz w:val="30"/>
          <w:szCs w:val="30"/>
        </w:rPr>
        <w:t>率进行清算；最终结算价格=</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确定的市场采集价格*（1-中标</w:t>
      </w:r>
      <w:r>
        <w:rPr>
          <w:rFonts w:hint="eastAsia" w:ascii="仿宋_GB2312" w:hAnsi="仿宋_GB2312" w:eastAsia="仿宋_GB2312" w:cs="仿宋_GB2312"/>
          <w:color w:val="auto"/>
          <w:sz w:val="30"/>
          <w:szCs w:val="30"/>
          <w:lang w:val="en-US" w:eastAsia="zh-CN"/>
        </w:rPr>
        <w:t>下浮</w:t>
      </w:r>
      <w:r>
        <w:rPr>
          <w:rFonts w:hint="eastAsia" w:ascii="仿宋_GB2312" w:hAnsi="仿宋_GB2312" w:eastAsia="仿宋_GB2312" w:cs="仿宋_GB2312"/>
          <w:color w:val="auto"/>
          <w:sz w:val="30"/>
          <w:szCs w:val="30"/>
        </w:rPr>
        <w:t>率）。</w:t>
      </w:r>
    </w:p>
    <w:p w14:paraId="7527D9D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3、乙方须向甲方出具合法有效的完税发票，甲方进行支付结算。</w:t>
      </w:r>
    </w:p>
    <w:p w14:paraId="661DAC6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4、结算方式：银行转账。</w:t>
      </w:r>
    </w:p>
    <w:p w14:paraId="3902FD75">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第四条 供货期限、地点与配送要求</w:t>
      </w:r>
    </w:p>
    <w:p w14:paraId="7567452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乙方在合同签订生效之日起（以学生实际到校日期为准），按甲方指定时间、地点交货。</w:t>
      </w:r>
    </w:p>
    <w:p w14:paraId="51ADCAE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1、供货期限</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 xml:space="preserve">2026年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日至</w:t>
      </w:r>
      <w:r>
        <w:rPr>
          <w:rFonts w:hint="eastAsia" w:ascii="仿宋_GB2312" w:hAnsi="仿宋_GB2312" w:eastAsia="仿宋_GB2312" w:cs="仿宋_GB2312"/>
          <w:color w:val="auto"/>
          <w:sz w:val="30"/>
          <w:szCs w:val="30"/>
          <w:lang w:val="en-US" w:eastAsia="zh-CN"/>
        </w:rPr>
        <w:t>2026</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日（以学生实际在校天数为准）</w:t>
      </w:r>
    </w:p>
    <w:p w14:paraId="1C39A4E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2、交货地点：</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w:t>
      </w:r>
    </w:p>
    <w:p w14:paraId="0376977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b w:val="0"/>
          <w:bCs w:val="0"/>
          <w:color w:val="auto"/>
          <w:sz w:val="30"/>
          <w:szCs w:val="30"/>
        </w:rPr>
      </w:pPr>
      <w:r>
        <w:rPr>
          <w:rFonts w:hint="eastAsia" w:ascii="仿宋_GB2312" w:hAnsi="仿宋_GB2312" w:eastAsia="仿宋_GB2312" w:cs="仿宋_GB2312"/>
          <w:color w:val="auto"/>
          <w:sz w:val="30"/>
          <w:szCs w:val="30"/>
        </w:rPr>
        <w:t>3、配送要求：</w:t>
      </w:r>
      <w:r>
        <w:rPr>
          <w:rFonts w:hint="eastAsia" w:ascii="仿宋_GB2312" w:hAnsi="仿宋_GB2312" w:eastAsia="仿宋_GB2312" w:cs="仿宋_GB2312"/>
          <w:b w:val="0"/>
          <w:bCs w:val="0"/>
          <w:color w:val="auto"/>
          <w:sz w:val="30"/>
          <w:szCs w:val="30"/>
        </w:rPr>
        <w:t>调味品每两周配送一次，配送应控制在合理范围内、禁止超量配送；肉类、蔬菜、鸡蛋等易变质食材每天配送一次。</w:t>
      </w:r>
    </w:p>
    <w:p w14:paraId="4C9EDAA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肉类必须符合</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食品安全国家标准鲜(冻)畜、禽产品</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GB 2707-2016和</w:t>
      </w:r>
      <w:r>
        <w:rPr>
          <w:rFonts w:hint="eastAsia" w:ascii="仿宋_GB2312" w:hAnsi="仿宋_GB2312" w:eastAsia="仿宋_GB2312" w:cs="仿宋_GB2312"/>
          <w:color w:val="auto"/>
          <w:sz w:val="30"/>
          <w:szCs w:val="30"/>
          <w:lang w:val="en-US" w:eastAsia="zh-CN"/>
        </w:rPr>
        <w:t>《食品安全国家标准鲜、冻动物性水产品》</w:t>
      </w:r>
      <w:r>
        <w:rPr>
          <w:rFonts w:hint="eastAsia" w:ascii="仿宋_GB2312" w:hAnsi="仿宋_GB2312" w:eastAsia="仿宋_GB2312" w:cs="仿宋_GB2312"/>
          <w:color w:val="auto"/>
          <w:sz w:val="30"/>
          <w:szCs w:val="30"/>
        </w:rPr>
        <w:t>GB 2733-2015标准要求，代理销售企业具有品牌鲜肉或冷鲜肉供应（代理）销售协议书</w:t>
      </w:r>
      <w:r>
        <w:rPr>
          <w:rFonts w:hint="eastAsia" w:ascii="仿宋_GB2312" w:hAnsi="仿宋_GB2312" w:eastAsia="仿宋_GB2312" w:cs="仿宋_GB2312"/>
          <w:color w:val="auto"/>
          <w:sz w:val="30"/>
          <w:szCs w:val="30"/>
          <w:lang w:eastAsia="zh-CN"/>
        </w:rPr>
        <w:t>、具</w:t>
      </w:r>
      <w:r>
        <w:rPr>
          <w:rFonts w:hint="eastAsia" w:ascii="仿宋_GB2312" w:hAnsi="仿宋_GB2312" w:eastAsia="仿宋_GB2312" w:cs="仿宋_GB2312"/>
          <w:color w:val="auto"/>
          <w:sz w:val="30"/>
          <w:szCs w:val="30"/>
        </w:rPr>
        <w:t>有专业的冷链运输配送能力、具有仓储经营场地，提供生鲜肉检疫合格证明，肉类制品提供检验合格证明。配送企业所提供肉品必须是定点肉品屠宰企业生产的检验检疫合格的肉品或经国家ISO9001质量管理体系认证的肉品企业生产的肉品；调味品必须符合</w:t>
      </w:r>
      <w:r>
        <w:rPr>
          <w:rFonts w:hint="eastAsia" w:ascii="仿宋_GB2312" w:hAnsi="仿宋_GB2312" w:eastAsia="仿宋_GB2312" w:cs="仿宋_GB2312"/>
          <w:color w:val="auto"/>
          <w:sz w:val="30"/>
          <w:szCs w:val="30"/>
          <w:lang w:val="en-US" w:eastAsia="zh-CN"/>
        </w:rPr>
        <w:t>《食品安全国家标准复合调味料》GB 31644-2018</w:t>
      </w:r>
      <w:r>
        <w:rPr>
          <w:rFonts w:hint="eastAsia" w:ascii="仿宋_GB2312" w:hAnsi="仿宋_GB2312" w:eastAsia="仿宋_GB2312" w:cs="仿宋_GB2312"/>
          <w:color w:val="auto"/>
          <w:sz w:val="30"/>
          <w:szCs w:val="30"/>
        </w:rPr>
        <w:t>标准要求，外包装标签应符合中国包装</w:t>
      </w:r>
      <w:r>
        <w:rPr>
          <w:rFonts w:hint="eastAsia" w:ascii="仿宋_GB2312" w:hAnsi="仿宋_GB2312" w:eastAsia="仿宋_GB2312" w:cs="仿宋_GB2312"/>
          <w:color w:val="auto"/>
          <w:sz w:val="30"/>
          <w:szCs w:val="30"/>
          <w:lang w:eastAsia="zh-CN"/>
        </w:rPr>
        <w:t>法律法规</w:t>
      </w:r>
      <w:r>
        <w:rPr>
          <w:rFonts w:hint="eastAsia" w:ascii="仿宋_GB2312" w:hAnsi="仿宋_GB2312" w:eastAsia="仿宋_GB2312" w:cs="仿宋_GB2312"/>
          <w:color w:val="auto"/>
          <w:sz w:val="30"/>
          <w:szCs w:val="30"/>
        </w:rPr>
        <w:t>的要求；用中文标明产品名称、生产厂家、规格、等级、采用的产品标准、质量检验合格证明、使用说明、生产日期和安全使用期或者失效期、警示标、QS标志及其他说明等。蔬菜必须达到食谱中净菜数量要求，符合国家食品标准，农药最大残留限量必须符合</w:t>
      </w:r>
      <w:r>
        <w:rPr>
          <w:rFonts w:hint="eastAsia" w:ascii="仿宋_GB2312" w:hAnsi="仿宋_GB2312" w:eastAsia="仿宋_GB2312" w:cs="仿宋_GB2312"/>
          <w:color w:val="auto"/>
          <w:sz w:val="30"/>
          <w:szCs w:val="30"/>
          <w:lang w:val="en-US" w:eastAsia="zh-CN"/>
        </w:rPr>
        <w:t>《食品安全国家标准食品中农药最大残留限量标准》</w:t>
      </w:r>
      <w:r>
        <w:rPr>
          <w:rFonts w:hint="eastAsia" w:ascii="仿宋_GB2312" w:hAnsi="仿宋_GB2312" w:eastAsia="仿宋_GB2312" w:cs="仿宋_GB2312"/>
          <w:color w:val="auto"/>
          <w:sz w:val="30"/>
          <w:szCs w:val="30"/>
        </w:rPr>
        <w:t>GB 2763-20</w:t>
      </w:r>
      <w:r>
        <w:rPr>
          <w:rFonts w:hint="eastAsia" w:ascii="仿宋_GB2312" w:hAnsi="仿宋_GB2312" w:eastAsia="仿宋_GB2312" w:cs="仿宋_GB2312"/>
          <w:color w:val="auto"/>
          <w:sz w:val="30"/>
          <w:szCs w:val="30"/>
          <w:lang w:val="en-US" w:eastAsia="zh-CN"/>
        </w:rPr>
        <w:t>21</w:t>
      </w:r>
      <w:r>
        <w:rPr>
          <w:rFonts w:hint="eastAsia" w:ascii="仿宋_GB2312" w:hAnsi="仿宋_GB2312" w:eastAsia="仿宋_GB2312" w:cs="仿宋_GB2312"/>
          <w:color w:val="auto"/>
          <w:sz w:val="30"/>
          <w:szCs w:val="30"/>
        </w:rPr>
        <w:t>标准，为无公害、绿色产品。鸡蛋必须供应5日内新鲜鸡蛋，蛋壳干净、完整，破开无臭味或其他异味，执行标准符合</w:t>
      </w:r>
      <w:r>
        <w:rPr>
          <w:rFonts w:hint="eastAsia" w:ascii="仿宋_GB2312" w:hAnsi="仿宋_GB2312" w:eastAsia="仿宋_GB2312" w:cs="仿宋_GB2312"/>
          <w:color w:val="auto"/>
          <w:sz w:val="30"/>
          <w:szCs w:val="30"/>
          <w:lang w:val="en-US" w:eastAsia="zh-CN"/>
        </w:rPr>
        <w:t>《食品安全国家标准蛋与蛋制品》</w:t>
      </w:r>
      <w:r>
        <w:rPr>
          <w:rFonts w:hint="eastAsia" w:ascii="仿宋_GB2312" w:hAnsi="仿宋_GB2312" w:eastAsia="仿宋_GB2312" w:cs="仿宋_GB2312"/>
          <w:color w:val="auto"/>
          <w:sz w:val="30"/>
          <w:szCs w:val="30"/>
        </w:rPr>
        <w:t>GB27</w:t>
      </w:r>
      <w:r>
        <w:rPr>
          <w:rFonts w:hint="eastAsia" w:ascii="仿宋_GB2312" w:hAnsi="仿宋_GB2312" w:eastAsia="仿宋_GB2312" w:cs="仿宋_GB2312"/>
          <w:color w:val="auto"/>
          <w:sz w:val="30"/>
          <w:szCs w:val="30"/>
          <w:lang w:val="en-US" w:eastAsia="zh-CN"/>
        </w:rPr>
        <w:t>49</w:t>
      </w:r>
      <w:r>
        <w:rPr>
          <w:rFonts w:hint="eastAsia"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lang w:val="en-US" w:eastAsia="zh-CN"/>
        </w:rPr>
        <w:t>15</w:t>
      </w:r>
      <w:r>
        <w:rPr>
          <w:rFonts w:hint="eastAsia" w:ascii="仿宋_GB2312" w:hAnsi="仿宋_GB2312" w:eastAsia="仿宋_GB2312" w:cs="仿宋_GB2312"/>
          <w:color w:val="auto"/>
          <w:sz w:val="30"/>
          <w:szCs w:val="30"/>
        </w:rPr>
        <w:t>。其他产品应包装完好、没有霉变，无杂质、无污染。</w:t>
      </w:r>
    </w:p>
    <w:p w14:paraId="6C64AC8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4、乙方未征得甲方同意和谅解而单方面延迟交货，将按违约终止合同。</w:t>
      </w:r>
    </w:p>
    <w:p w14:paraId="7241A2E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5、乙方遇到可能妨碍按时交付和提供服务的情况，应当及时以书面形式通知甲方，说明原由、拖延的期限、采取的补救措施等，否则将按违约终止合同。</w:t>
      </w:r>
    </w:p>
    <w:p w14:paraId="41129947">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第五条 质量保证</w:t>
      </w:r>
    </w:p>
    <w:p w14:paraId="38132C27">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1、乙方须提供保质、保鲜、正规渠道采购的安全合格产品，干菜、调料等产品到货时，该产品的有效期不得低于该产品整体有效期的三分之二；大肉为当日屠宰、鲜菜</w:t>
      </w:r>
      <w:r>
        <w:rPr>
          <w:rFonts w:hint="eastAsia" w:ascii="仿宋_GB2312" w:hAnsi="仿宋_GB2312" w:eastAsia="仿宋_GB2312" w:cs="仿宋_GB2312"/>
          <w:color w:val="auto"/>
          <w:sz w:val="30"/>
          <w:szCs w:val="30"/>
          <w:lang w:val="en-US" w:eastAsia="zh-CN"/>
        </w:rPr>
        <w:t>必须新鲜</w:t>
      </w:r>
      <w:r>
        <w:rPr>
          <w:rFonts w:hint="eastAsia" w:ascii="仿宋_GB2312" w:hAnsi="仿宋_GB2312" w:eastAsia="仿宋_GB2312" w:cs="仿宋_GB2312"/>
          <w:color w:val="auto"/>
          <w:sz w:val="30"/>
          <w:szCs w:val="30"/>
        </w:rPr>
        <w:t>；所有产品要完全符合合同规定的质量、规格和重量等要求，若发现</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提供的产品属于假货，一经发现，移交市场管理部门进行处理，并按合同要求进行处罚。</w:t>
      </w:r>
    </w:p>
    <w:p w14:paraId="2BFF212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所有产品必须保证外包装完好无损、无杂质、无污染、商标图案清晰、有生产日期、无霉变情况，因运输装卸过程中造成的损耗（例如包装严重变形、破损、食品污染、变异等）、发现的破损、变异食品必须无条件一对一及时进行更换，不得影响学生的食用。</w:t>
      </w:r>
    </w:p>
    <w:p w14:paraId="72F7436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3、所有产品质量必须符合国家有关规范和相关政策，质量优良、渠道正当，上述标准不一致的，以严格标准为准。</w:t>
      </w:r>
    </w:p>
    <w:p w14:paraId="5AE484D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保证提供每批次产品的质量检验报告，肉类提供《肉品品质检验合格证明》、《动物产品检疫合格证明》、《肉品品质检验合格验讫印章》和《动物产品检疫合格印章》、非洲猪瘟病毒检测报告，鸡蛋提供检疫报告书和进货发票或其他有效票据。</w:t>
      </w:r>
    </w:p>
    <w:p w14:paraId="094ABCE7">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5、如因质量问题意外食用，并造成实际伤害及损失，将由中标人承担全部责任，甲方有权到乙方生产</w:t>
      </w:r>
      <w:r>
        <w:rPr>
          <w:rFonts w:hint="eastAsia" w:ascii="仿宋_GB2312" w:hAnsi="仿宋_GB2312" w:eastAsia="仿宋_GB2312" w:cs="仿宋_GB2312"/>
          <w:color w:val="auto"/>
          <w:sz w:val="30"/>
          <w:szCs w:val="30"/>
          <w:lang w:val="en-US" w:eastAsia="zh-CN"/>
        </w:rPr>
        <w:t>或</w:t>
      </w:r>
      <w:r>
        <w:rPr>
          <w:rFonts w:hint="eastAsia" w:ascii="仿宋_GB2312" w:hAnsi="仿宋_GB2312" w:eastAsia="仿宋_GB2312" w:cs="仿宋_GB2312"/>
          <w:color w:val="auto"/>
          <w:sz w:val="30"/>
          <w:szCs w:val="30"/>
        </w:rPr>
        <w:t>供货场地检查货物质量和生产进度。</w:t>
      </w:r>
    </w:p>
    <w:p w14:paraId="2B76337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6、保质期内出现的质量问题由乙方负责解决并承担所有费用。</w:t>
      </w:r>
    </w:p>
    <w:p w14:paraId="3FB2A71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7、</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应严格遵守《食品安全法》和《动物检疫法》等相关规定，必须供应本次招标指定的产品，并保证产品质量，一经发现出现以下情况之一的，除全部退货外，将取消</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的供货资格，并承担由此造成的全部经济责任和法律责任：</w:t>
      </w:r>
    </w:p>
    <w:p w14:paraId="6101540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(1)腐败变质、油脂酸败、霉变、生虫、污秽不洁、混有异物或者其他感官性状异常，对人体健康有害的；</w:t>
      </w:r>
    </w:p>
    <w:p w14:paraId="75BB127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(2)含有毒、有害物质或者被有害物质污染，对人体健康有害的；</w:t>
      </w:r>
    </w:p>
    <w:p w14:paraId="53D0742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(3)含有致病性寄生虫、微生物或者微生物含量超过国家限定标准的；</w:t>
      </w:r>
    </w:p>
    <w:p w14:paraId="37674FD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(4)掺假、掺杂、伪造，影响营养、卫生的；</w:t>
      </w:r>
    </w:p>
    <w:p w14:paraId="08276C0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(5)用非食品原料加工的，加入非食品用化学物质或者将非食品当作食品的；</w:t>
      </w:r>
    </w:p>
    <w:p w14:paraId="36527EB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(6)超过保质期限的。</w:t>
      </w:r>
    </w:p>
    <w:p w14:paraId="29B5034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(7)在相关部门组织的营养食品、食材质量抽检中连续不合格的。</w:t>
      </w:r>
    </w:p>
    <w:p w14:paraId="05C59BF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8、合同期内如有严重违反合同并造成恶劣影响的；卫生检疫部门确认</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因送货质量问题造成食物中毒等后果的，</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应负全部经济和法律责任。</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视情节，有权终止合同。如</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被学校书面投诉三次及以上，</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有权取消</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资格。其它未尽事宜以</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解释为准。</w:t>
      </w:r>
    </w:p>
    <w:p w14:paraId="56FE57E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9、</w:t>
      </w:r>
      <w:r>
        <w:rPr>
          <w:rFonts w:hint="eastAsia" w:ascii="仿宋_GB2312" w:hAnsi="仿宋_GB2312" w:eastAsia="仿宋_GB2312" w:cs="仿宋_GB2312"/>
          <w:color w:val="auto"/>
          <w:sz w:val="30"/>
          <w:szCs w:val="30"/>
          <w:lang w:eastAsia="zh-CN"/>
        </w:rPr>
        <w:t>食材清单中未采购的杂粮（黑米粉、糙米、米粉、玉米面等）因量少，</w:t>
      </w:r>
      <w:r>
        <w:rPr>
          <w:rFonts w:hint="eastAsia" w:ascii="仿宋_GB2312" w:hAnsi="仿宋_GB2312" w:eastAsia="仿宋_GB2312" w:cs="仿宋_GB2312"/>
          <w:color w:val="auto"/>
          <w:sz w:val="30"/>
          <w:szCs w:val="30"/>
          <w:lang w:val="en-US" w:eastAsia="zh-CN"/>
        </w:rPr>
        <w:t>可由本标段供应，据实结算。</w:t>
      </w:r>
    </w:p>
    <w:p w14:paraId="65FFE272">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第六条 权利与义务</w:t>
      </w:r>
    </w:p>
    <w:p w14:paraId="70585FD8">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（一）甲方权利与义务</w:t>
      </w:r>
    </w:p>
    <w:p w14:paraId="6ACD596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1、按照《三原县教育局农村义务教育学生营养改善计划实施方案》规定，对供货不规范现象，由甲方提出整改期限，到期整改不到位的，甲方有权随时终止本合同，且无需向乙方支付因此造成的任何损失。</w:t>
      </w:r>
    </w:p>
    <w:p w14:paraId="66A53FF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2、甲方按本合同约定的时间和金额向乙方及时支付食材供应费用。</w:t>
      </w:r>
    </w:p>
    <w:p w14:paraId="78F814E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3、甲方有权根据实际情况调整供应模式、范围、内容、享受营养改善计划的学生数，调整情况应提前5个工作日告知乙方。</w:t>
      </w:r>
    </w:p>
    <w:p w14:paraId="69005AC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4、对于向乙方提供食材的生产厂家、养殖户，甲方有权会同有关部门进行检查、监督和实地查看，发现有问题后有权否定责令其退出。</w:t>
      </w:r>
    </w:p>
    <w:p w14:paraId="054BC0B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5、甲方有权对乙方供货的食材价格进行监督，甲方</w:t>
      </w:r>
      <w:r>
        <w:rPr>
          <w:rFonts w:hint="eastAsia" w:ascii="仿宋_GB2312" w:hAnsi="仿宋_GB2312" w:eastAsia="仿宋_GB2312" w:cs="仿宋_GB2312"/>
          <w:color w:val="auto"/>
          <w:sz w:val="30"/>
          <w:szCs w:val="30"/>
          <w:lang w:val="en-US" w:eastAsia="zh-CN"/>
        </w:rPr>
        <w:t>和使用单位</w:t>
      </w:r>
      <w:r>
        <w:rPr>
          <w:rFonts w:hint="eastAsia" w:ascii="仿宋_GB2312" w:hAnsi="仿宋_GB2312" w:eastAsia="仿宋_GB2312" w:cs="仿宋_GB2312"/>
          <w:color w:val="auto"/>
          <w:sz w:val="30"/>
          <w:szCs w:val="30"/>
        </w:rPr>
        <w:t>在超市和大型农贸市场采价，每次采价完后对每类食材的价格进行平均，平均价为当天采价的次日到下次采价前</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确定的市场采集价格，监督供货商的食材价格</w:t>
      </w:r>
      <w:r>
        <w:rPr>
          <w:rFonts w:hint="eastAsia" w:ascii="仿宋_GB2312" w:hAnsi="仿宋_GB2312" w:eastAsia="仿宋_GB2312" w:cs="仿宋_GB2312"/>
          <w:color w:val="auto"/>
          <w:sz w:val="30"/>
          <w:szCs w:val="30"/>
          <w:lang w:val="en-US" w:eastAsia="zh-CN"/>
        </w:rPr>
        <w:t>在市场价的基础上执行下浮率</w:t>
      </w:r>
      <w:r>
        <w:rPr>
          <w:rFonts w:hint="eastAsia" w:ascii="仿宋_GB2312" w:hAnsi="仿宋_GB2312" w:eastAsia="仿宋_GB2312" w:cs="仿宋_GB2312"/>
          <w:color w:val="auto"/>
          <w:sz w:val="30"/>
          <w:szCs w:val="30"/>
        </w:rPr>
        <w:t>。</w:t>
      </w:r>
    </w:p>
    <w:p w14:paraId="289038C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6、供货验收时出现质量问题或菜品不新鲜</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有权拒签供货单，拒收货物。并要在</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规定的时间内重新供货。</w:t>
      </w:r>
    </w:p>
    <w:p w14:paraId="4B724A18">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（二）乙方权利与义务</w:t>
      </w:r>
    </w:p>
    <w:p w14:paraId="00D3E8D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乙方供应的食材必须各种证件齐全，并将证件在教育局和食材使用学校备案。乙方必须按照IS9001、ISI14001相关要求进行运作，若某些细节不能达到相关要求的，须取得教育局的书面认可，否则乙方应主动终止本合同，并向甲方提前5日以上提交终止申请，由此而造成的经济损失，由甲方在乙方货款中直接扣除，货款不足的超出部分由乙方补缴。</w:t>
      </w:r>
    </w:p>
    <w:p w14:paraId="4D9053B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2、所供食品价格应按照市场同期价格采供，食材价格必须</w:t>
      </w:r>
      <w:r>
        <w:rPr>
          <w:rFonts w:hint="eastAsia" w:ascii="仿宋_GB2312" w:hAnsi="仿宋_GB2312" w:eastAsia="仿宋_GB2312" w:cs="仿宋_GB2312"/>
          <w:color w:val="auto"/>
          <w:sz w:val="30"/>
          <w:szCs w:val="30"/>
          <w:lang w:val="en-US" w:eastAsia="zh-CN"/>
        </w:rPr>
        <w:t>执行投标时的下浮率</w:t>
      </w:r>
      <w:r>
        <w:rPr>
          <w:rFonts w:hint="eastAsia" w:ascii="仿宋_GB2312" w:hAnsi="仿宋_GB2312" w:eastAsia="仿宋_GB2312" w:cs="仿宋_GB2312"/>
          <w:color w:val="auto"/>
          <w:sz w:val="30"/>
          <w:szCs w:val="30"/>
        </w:rPr>
        <w:t>。</w:t>
      </w:r>
    </w:p>
    <w:p w14:paraId="30D745E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3、配送的食材必须保质保量，新鲜，按先进先出原则，必须把食品安全放在第一位。</w:t>
      </w:r>
    </w:p>
    <w:p w14:paraId="0062133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4、按批次做好留样工作，每种食材留样量必须达到125g，留样保存时间最少48小时。</w:t>
      </w:r>
    </w:p>
    <w:p w14:paraId="48D1629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5、按承诺的供货时间及时供货，所供食材不得出现临近保质期。</w:t>
      </w:r>
    </w:p>
    <w:p w14:paraId="29FBE09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6、配送食材所需的交通、储藏等设备、用具，必须保持清洁、卫生，每天消毒，必须使用密封装载交通工具配送。</w:t>
      </w:r>
    </w:p>
    <w:p w14:paraId="33E10FF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7、积极配合甲方做好食品安全方面的工作及其他工作。</w:t>
      </w:r>
    </w:p>
    <w:p w14:paraId="538CC14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8、乙方保证对其出售的货物或其任何一部分没有侵犯第三方的专利权、版权、商标权或其他权利。如甲方在使用该货物时构成上述侵权的，则由乙方承担全部责任。</w:t>
      </w:r>
    </w:p>
    <w:p w14:paraId="021A827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9、乙方每批次向甲方配送所供产品的同时还需出具所供产品的合格证及检验报告，所有配送产品还须出具</w:t>
      </w:r>
      <w:r>
        <w:rPr>
          <w:rFonts w:hint="eastAsia" w:ascii="仿宋_GB2312" w:hAnsi="仿宋_GB2312" w:eastAsia="仿宋_GB2312" w:cs="仿宋_GB2312"/>
          <w:color w:val="auto"/>
          <w:sz w:val="30"/>
          <w:szCs w:val="30"/>
          <w:lang w:eastAsia="zh-CN"/>
        </w:rPr>
        <w:t>提供有资质的检测单位出具的半年内检验报告，同时提供每个批次生产厂家的自检证明</w:t>
      </w:r>
      <w:r>
        <w:rPr>
          <w:rFonts w:hint="eastAsia" w:ascii="仿宋_GB2312" w:hAnsi="仿宋_GB2312" w:eastAsia="仿宋_GB2312" w:cs="仿宋_GB2312"/>
          <w:color w:val="auto"/>
          <w:sz w:val="30"/>
          <w:szCs w:val="30"/>
        </w:rPr>
        <w:t>，否则甲方将拒收配送产品。</w:t>
      </w:r>
    </w:p>
    <w:p w14:paraId="199B32CD">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color w:val="auto"/>
          <w:sz w:val="30"/>
          <w:szCs w:val="30"/>
        </w:rPr>
        <w:t xml:space="preserve">第七条 包装要求与运输方式  </w:t>
      </w:r>
      <w:r>
        <w:rPr>
          <w:rFonts w:hint="eastAsia" w:ascii="仿宋_GB2312" w:hAnsi="仿宋_GB2312" w:eastAsia="仿宋_GB2312" w:cs="仿宋_GB2312"/>
          <w:color w:val="auto"/>
          <w:sz w:val="30"/>
          <w:szCs w:val="30"/>
        </w:rPr>
        <w:t xml:space="preserve"> </w:t>
      </w:r>
    </w:p>
    <w:p w14:paraId="657FF4D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1、除合同另有规定外，乙方提供的全部货物均应按标准保护措施进行包装，该包装应适应于远距离运输、防潮、防霉和防野蛮装卸，以确保货物安全运抵指定地点。</w:t>
      </w:r>
    </w:p>
    <w:p w14:paraId="342B147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2、货物（产品）运输方式：冷链运输或</w:t>
      </w:r>
      <w:r>
        <w:rPr>
          <w:rFonts w:hint="eastAsia" w:ascii="仿宋_GB2312" w:hAnsi="仿宋_GB2312" w:eastAsia="仿宋_GB2312" w:cs="仿宋_GB2312"/>
          <w:color w:val="auto"/>
          <w:sz w:val="30"/>
          <w:szCs w:val="30"/>
          <w:lang w:eastAsia="zh-CN"/>
        </w:rPr>
        <w:t>厢</w:t>
      </w:r>
      <w:r>
        <w:rPr>
          <w:rFonts w:hint="eastAsia" w:ascii="仿宋_GB2312" w:hAnsi="仿宋_GB2312" w:eastAsia="仿宋_GB2312" w:cs="仿宋_GB2312"/>
          <w:color w:val="auto"/>
          <w:sz w:val="30"/>
          <w:szCs w:val="30"/>
        </w:rPr>
        <w:t>式货车运输。</w:t>
      </w:r>
    </w:p>
    <w:p w14:paraId="5AE3A9B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3、乙方负责货物（产品）运输，货物运输的合理损耗由乙方支付。</w:t>
      </w:r>
    </w:p>
    <w:p w14:paraId="2490AFF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4、选择运输风险小、运费低、距离短的运输路线。在合同有效期内甲方不</w:t>
      </w:r>
      <w:r>
        <w:rPr>
          <w:rFonts w:hint="eastAsia" w:ascii="仿宋_GB2312" w:hAnsi="仿宋_GB2312" w:eastAsia="仿宋_GB2312" w:cs="仿宋_GB2312"/>
          <w:color w:val="auto"/>
          <w:sz w:val="30"/>
          <w:szCs w:val="30"/>
          <w:lang w:eastAsia="zh-CN"/>
        </w:rPr>
        <w:t>再</w:t>
      </w:r>
      <w:r>
        <w:rPr>
          <w:rFonts w:hint="eastAsia" w:ascii="仿宋_GB2312" w:hAnsi="仿宋_GB2312" w:eastAsia="仿宋_GB2312" w:cs="仿宋_GB2312"/>
          <w:color w:val="auto"/>
          <w:sz w:val="30"/>
          <w:szCs w:val="30"/>
        </w:rPr>
        <w:t>承担任何其他费用，在配送过程中出现的一切人员伤亡、财产损失由乙方负责，甲方不承担任何责任。</w:t>
      </w:r>
    </w:p>
    <w:p w14:paraId="69E8FA09">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第八条 货物验收</w:t>
      </w:r>
    </w:p>
    <w:p w14:paraId="57CD2594">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1、产品验收由甲方组织，</w:t>
      </w:r>
      <w:r>
        <w:rPr>
          <w:rFonts w:hint="eastAsia" w:ascii="仿宋_GB2312" w:hAnsi="仿宋_GB2312" w:eastAsia="仿宋_GB2312" w:cs="仿宋_GB2312"/>
          <w:b/>
          <w:bCs/>
          <w:color w:val="auto"/>
          <w:sz w:val="30"/>
          <w:szCs w:val="30"/>
          <w:lang w:val="en-US" w:eastAsia="zh-CN"/>
        </w:rPr>
        <w:t>各使用单位具体实施，</w:t>
      </w:r>
      <w:r>
        <w:rPr>
          <w:rFonts w:hint="eastAsia" w:ascii="仿宋_GB2312" w:hAnsi="仿宋_GB2312" w:eastAsia="仿宋_GB2312" w:cs="仿宋_GB2312"/>
          <w:b/>
          <w:color w:val="auto"/>
          <w:sz w:val="30"/>
          <w:szCs w:val="30"/>
        </w:rPr>
        <w:t>乙方配合，并符合下列要求：</w:t>
      </w:r>
    </w:p>
    <w:p w14:paraId="4EC03E9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①</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每次供货须向使用单位提供“供货清单”（供货清单一式三份，</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一份，乙方一份，使用单位一份）；经验收合格后，由使用单位在“供货清单”上签字并</w:t>
      </w:r>
      <w:r>
        <w:rPr>
          <w:rFonts w:hint="eastAsia" w:ascii="仿宋_GB2312" w:hAnsi="仿宋_GB2312" w:eastAsia="仿宋_GB2312" w:cs="仿宋_GB2312"/>
          <w:color w:val="auto"/>
          <w:sz w:val="30"/>
          <w:szCs w:val="30"/>
          <w:lang w:val="en-US" w:eastAsia="zh-CN"/>
        </w:rPr>
        <w:t>加</w:t>
      </w:r>
      <w:r>
        <w:rPr>
          <w:rFonts w:hint="eastAsia" w:ascii="仿宋_GB2312" w:hAnsi="仿宋_GB2312" w:eastAsia="仿宋_GB2312" w:cs="仿宋_GB2312"/>
          <w:color w:val="auto"/>
          <w:sz w:val="30"/>
          <w:szCs w:val="30"/>
        </w:rPr>
        <w:t>盖单位公章。</w:t>
      </w:r>
    </w:p>
    <w:p w14:paraId="37F770E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②若验收不合格，乙方必须无条件及时换货，保证使用单位的正常使用，否则将终止其供货合同，并赔偿</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的损失。</w:t>
      </w:r>
    </w:p>
    <w:p w14:paraId="3DE07BD6">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2、货物验收依据：</w:t>
      </w:r>
    </w:p>
    <w:p w14:paraId="138F67B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（1）招标文件；</w:t>
      </w:r>
    </w:p>
    <w:p w14:paraId="0CB3C15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（2）投标文件；</w:t>
      </w:r>
    </w:p>
    <w:p w14:paraId="29C0D47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（3）采购合同及补充协议；</w:t>
      </w:r>
    </w:p>
    <w:p w14:paraId="1392E72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（4）产品合格的检测报告。</w:t>
      </w:r>
    </w:p>
    <w:p w14:paraId="6109E6D2">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第九条 售后服务</w:t>
      </w:r>
    </w:p>
    <w:p w14:paraId="7F934F9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乙方应按照国家有关法律法规和“三包”规定以及招标文件要求和投标文件的“服务承诺”提供服务。</w:t>
      </w:r>
    </w:p>
    <w:p w14:paraId="61AE6FDA">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第十条 履约保证金</w:t>
      </w:r>
    </w:p>
    <w:p w14:paraId="0D271899">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乙方中标后，向县教育局缴纳</w:t>
      </w:r>
      <w:r>
        <w:rPr>
          <w:rFonts w:hint="eastAsia" w:ascii="仿宋_GB2312" w:hAnsi="仿宋_GB2312" w:eastAsia="仿宋_GB2312" w:cs="仿宋_GB2312"/>
          <w:color w:val="auto"/>
          <w:sz w:val="30"/>
          <w:szCs w:val="30"/>
          <w:u w:val="single"/>
          <w:lang w:val="en-US" w:eastAsia="zh-CN"/>
        </w:rPr>
        <w:t>50000.00</w:t>
      </w:r>
      <w:r>
        <w:rPr>
          <w:rFonts w:hint="eastAsia" w:ascii="仿宋_GB2312" w:hAnsi="仿宋_GB2312" w:eastAsia="仿宋_GB2312" w:cs="仿宋_GB2312"/>
          <w:color w:val="auto"/>
          <w:sz w:val="30"/>
          <w:szCs w:val="30"/>
        </w:rPr>
        <w:t>元履约保证金。合同期满后</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无违反合同条款行为的无息退还。若有违反合同条款行为的，按照合同约定在履约保证金中扣除应赔付的款额后，余款</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无息退还。若有不足扣款的金额，由乙方补足。</w:t>
      </w:r>
    </w:p>
    <w:p w14:paraId="3B70AE8B">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第十一条 违约责任</w:t>
      </w:r>
    </w:p>
    <w:p w14:paraId="62227123">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1、甲方违约责任</w:t>
      </w:r>
    </w:p>
    <w:p w14:paraId="78E7B17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（1）甲方无正当理由拒收货物的，甲方应偿付合同总价</w:t>
      </w:r>
      <w:r>
        <w:rPr>
          <w:rFonts w:hint="eastAsia" w:ascii="仿宋_GB2312" w:hAnsi="仿宋_GB2312" w:eastAsia="仿宋_GB2312" w:cs="仿宋_GB2312"/>
          <w:color w:val="auto"/>
          <w:sz w:val="30"/>
          <w:szCs w:val="30"/>
          <w:u w:val="single"/>
          <w:lang w:val="en-US" w:eastAsia="zh-CN"/>
        </w:rPr>
        <w:t xml:space="preserve"> 3 %</w:t>
      </w:r>
      <w:r>
        <w:rPr>
          <w:rFonts w:hint="eastAsia" w:ascii="仿宋_GB2312" w:hAnsi="仿宋_GB2312" w:eastAsia="仿宋_GB2312" w:cs="仿宋_GB2312"/>
          <w:color w:val="auto"/>
          <w:sz w:val="30"/>
          <w:szCs w:val="30"/>
        </w:rPr>
        <w:t>的违约金；</w:t>
      </w:r>
    </w:p>
    <w:p w14:paraId="2BE3FD6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（2）甲方逾期支付货款的，除应及时付足货款外，应向乙方每天支付欠款总额</w:t>
      </w:r>
      <w:r>
        <w:rPr>
          <w:rFonts w:hint="eastAsia" w:ascii="仿宋_GB2312" w:hAnsi="仿宋_GB2312" w:eastAsia="仿宋_GB2312" w:cs="仿宋_GB2312"/>
          <w:color w:val="auto"/>
          <w:sz w:val="30"/>
          <w:szCs w:val="30"/>
          <w:u w:val="single"/>
          <w:lang w:val="en-US" w:eastAsia="zh-CN"/>
        </w:rPr>
        <w:t xml:space="preserve"> 3 ‰</w:t>
      </w:r>
      <w:r>
        <w:rPr>
          <w:rFonts w:hint="eastAsia" w:ascii="仿宋_GB2312" w:hAnsi="仿宋_GB2312" w:eastAsia="仿宋_GB2312" w:cs="仿宋_GB2312"/>
          <w:color w:val="auto"/>
          <w:sz w:val="30"/>
          <w:szCs w:val="30"/>
        </w:rPr>
        <w:t>的滞纳金；但累计滞纳金总额不超过欠款总额的</w:t>
      </w:r>
      <w:r>
        <w:rPr>
          <w:rFonts w:hint="eastAsia" w:ascii="仿宋_GB2312" w:hAnsi="仿宋_GB2312" w:eastAsia="仿宋_GB2312" w:cs="仿宋_GB2312"/>
          <w:color w:val="auto"/>
          <w:sz w:val="30"/>
          <w:szCs w:val="30"/>
          <w:u w:val="single"/>
        </w:rPr>
        <w:t xml:space="preserve"> 5 %</w:t>
      </w:r>
      <w:r>
        <w:rPr>
          <w:rFonts w:hint="eastAsia" w:ascii="仿宋_GB2312" w:hAnsi="仿宋_GB2312" w:eastAsia="仿宋_GB2312" w:cs="仿宋_GB2312"/>
          <w:color w:val="auto"/>
          <w:sz w:val="30"/>
          <w:szCs w:val="30"/>
        </w:rPr>
        <w:t>。</w:t>
      </w:r>
    </w:p>
    <w:p w14:paraId="0671AA61">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2、乙方违约责任</w:t>
      </w:r>
    </w:p>
    <w:p w14:paraId="3ED2321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（1）如乙方不能交付货物，甲方有权扣留全部履约保证金；同时乙方应向甲方支付合同总价</w:t>
      </w:r>
      <w:r>
        <w:rPr>
          <w:rFonts w:hint="eastAsia" w:ascii="仿宋_GB2312" w:hAnsi="仿宋_GB2312" w:eastAsia="仿宋_GB2312" w:cs="仿宋_GB2312"/>
          <w:color w:val="auto"/>
          <w:sz w:val="30"/>
          <w:szCs w:val="30"/>
          <w:u w:val="single"/>
        </w:rPr>
        <w:t xml:space="preserve"> </w:t>
      </w:r>
      <w:r>
        <w:rPr>
          <w:rFonts w:hint="eastAsia" w:ascii="仿宋_GB2312" w:hAnsi="仿宋_GB2312" w:eastAsia="仿宋_GB2312" w:cs="仿宋_GB2312"/>
          <w:color w:val="auto"/>
          <w:sz w:val="30"/>
          <w:szCs w:val="30"/>
          <w:u w:val="single"/>
          <w:lang w:val="en-US" w:eastAsia="zh-CN"/>
        </w:rPr>
        <w:t>3％</w:t>
      </w:r>
      <w:r>
        <w:rPr>
          <w:rFonts w:hint="eastAsia" w:ascii="仿宋_GB2312" w:hAnsi="仿宋_GB2312" w:eastAsia="仿宋_GB2312" w:cs="仿宋_GB2312"/>
          <w:color w:val="auto"/>
          <w:sz w:val="30"/>
          <w:szCs w:val="30"/>
        </w:rPr>
        <w:t>的违约金；</w:t>
      </w:r>
    </w:p>
    <w:p w14:paraId="5005A6B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（2）乙方逾期交付货物的，每逾期1天，乙方向甲方偿付逾期交货部分货款总额的</w:t>
      </w:r>
      <w:r>
        <w:rPr>
          <w:rFonts w:hint="eastAsia" w:ascii="仿宋_GB2312" w:hAnsi="仿宋_GB2312" w:eastAsia="仿宋_GB2312" w:cs="仿宋_GB2312"/>
          <w:color w:val="auto"/>
          <w:sz w:val="30"/>
          <w:szCs w:val="30"/>
          <w:u w:val="single"/>
        </w:rPr>
        <w:t xml:space="preserve"> 5‰</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滞纳金。如乙方逾期交货达</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u w:val="single"/>
        </w:rPr>
        <w:t>10</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天，甲方有权解除合同，解除合同的通知自到达乙方时生效；</w:t>
      </w:r>
    </w:p>
    <w:p w14:paraId="7F5ABA43">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（3）乙方所交付的货物品种、型号、规格不符合合同规定的，甲方有权拒收。甲方拒收的，乙方应向甲方支付货款总额</w:t>
      </w:r>
      <w:r>
        <w:rPr>
          <w:rFonts w:hint="eastAsia" w:ascii="仿宋_GB2312" w:hAnsi="仿宋_GB2312" w:eastAsia="仿宋_GB2312" w:cs="仿宋_GB2312"/>
          <w:color w:val="auto"/>
          <w:sz w:val="30"/>
          <w:szCs w:val="30"/>
          <w:u w:val="single"/>
        </w:rPr>
        <w:t xml:space="preserve"> 5%</w:t>
      </w:r>
      <w:r>
        <w:rPr>
          <w:rFonts w:hint="eastAsia" w:ascii="仿宋_GB2312" w:hAnsi="仿宋_GB2312" w:eastAsia="仿宋_GB2312" w:cs="仿宋_GB2312"/>
          <w:color w:val="auto"/>
          <w:sz w:val="30"/>
          <w:szCs w:val="30"/>
        </w:rPr>
        <w:t>的违约金；</w:t>
      </w:r>
    </w:p>
    <w:p w14:paraId="4C6D810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乙方货物经甲方送交具有法定资格条件的质量技术监督机构检测后，如检测结果认定货物质量不符合本合同规定标准的，则视为乙方没有按时交货而违约，乙方须在10天内无条件更换合格的货物，如逾期不能更换合格的货物，甲方有权终止本合同，乙方应另向甲方支付货款总额的</w:t>
      </w:r>
      <w:r>
        <w:rPr>
          <w:rFonts w:hint="eastAsia" w:ascii="仿宋_GB2312" w:hAnsi="仿宋_GB2312" w:eastAsia="仿宋_GB2312" w:cs="仿宋_GB2312"/>
          <w:color w:val="auto"/>
          <w:sz w:val="30"/>
          <w:szCs w:val="30"/>
          <w:u w:val="single"/>
        </w:rPr>
        <w:t xml:space="preserve"> 3%</w:t>
      </w:r>
      <w:r>
        <w:rPr>
          <w:rFonts w:hint="eastAsia" w:ascii="仿宋_GB2312" w:hAnsi="仿宋_GB2312" w:eastAsia="仿宋_GB2312" w:cs="仿宋_GB2312"/>
          <w:color w:val="auto"/>
          <w:sz w:val="30"/>
          <w:szCs w:val="30"/>
          <w:u w:val="single"/>
          <w:lang w:val="en-US" w:eastAsia="zh-CN"/>
        </w:rPr>
        <w:t xml:space="preserve"> </w:t>
      </w:r>
      <w:r>
        <w:rPr>
          <w:rFonts w:hint="eastAsia" w:ascii="仿宋_GB2312" w:hAnsi="仿宋_GB2312" w:eastAsia="仿宋_GB2312" w:cs="仿宋_GB2312"/>
          <w:color w:val="auto"/>
          <w:sz w:val="30"/>
          <w:szCs w:val="30"/>
        </w:rPr>
        <w:t>的违约金；</w:t>
      </w:r>
    </w:p>
    <w:p w14:paraId="30B0F11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（5）乙方未按本合同第十条的规定向甲方交付履约保证金的，应按应交付履约保证金的</w:t>
      </w:r>
      <w:r>
        <w:rPr>
          <w:rFonts w:hint="eastAsia" w:ascii="仿宋_GB2312" w:hAnsi="仿宋_GB2312" w:eastAsia="仿宋_GB2312" w:cs="仿宋_GB2312"/>
          <w:color w:val="auto"/>
          <w:sz w:val="30"/>
          <w:szCs w:val="30"/>
          <w:u w:val="single"/>
        </w:rPr>
        <w:t xml:space="preserve"> 1 %</w:t>
      </w:r>
      <w:r>
        <w:rPr>
          <w:rFonts w:hint="eastAsia" w:ascii="仿宋_GB2312" w:hAnsi="仿宋_GB2312" w:eastAsia="仿宋_GB2312" w:cs="仿宋_GB2312"/>
          <w:color w:val="auto"/>
          <w:sz w:val="30"/>
          <w:szCs w:val="30"/>
        </w:rPr>
        <w:t>向甲方支付违约金，该违约金的支付不影响乙方应承担的其他违约责任；</w:t>
      </w:r>
    </w:p>
    <w:p w14:paraId="1987AC6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 xml:space="preserve">（6）乙方未按本合同的规定和“服务承诺”提供伴随服务/售后服务的，应按合同总价款的 </w:t>
      </w:r>
      <w:r>
        <w:rPr>
          <w:rFonts w:hint="eastAsia" w:ascii="仿宋_GB2312" w:hAnsi="仿宋_GB2312" w:eastAsia="仿宋_GB2312" w:cs="仿宋_GB2312"/>
          <w:color w:val="auto"/>
          <w:sz w:val="30"/>
          <w:szCs w:val="30"/>
          <w:u w:val="single"/>
        </w:rPr>
        <w:t>2%</w:t>
      </w:r>
      <w:r>
        <w:rPr>
          <w:rFonts w:hint="eastAsia" w:ascii="仿宋_GB2312" w:hAnsi="仿宋_GB2312" w:eastAsia="仿宋_GB2312" w:cs="仿宋_GB2312"/>
          <w:color w:val="auto"/>
          <w:sz w:val="30"/>
          <w:szCs w:val="30"/>
        </w:rPr>
        <w:t>向甲方承担违约责任；</w:t>
      </w:r>
    </w:p>
    <w:p w14:paraId="250DFDB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（7）乙方在承担上述1-6款一项或多项违约责任后，仍应继续履行合同规定的义务（甲方解除合同的除外）。甲方未能及时追究乙方的任何一项违约责任并不表明甲方放弃追究乙方该项或其他违约责任；</w:t>
      </w:r>
    </w:p>
    <w:p w14:paraId="20B4EED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（8）乙方偿付的违约金不足以弥补甲方损失的，还应按甲方损失尚未弥补的部分，支付赔偿金给甲方。</w:t>
      </w:r>
    </w:p>
    <w:p w14:paraId="1C7CB31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（9）对供应的食品的质量、安全和卫生负全责，保证供应的食材质量达标、安全可靠、卫生清洁；按时提供每批次质量检验报告和相关资料；</w:t>
      </w:r>
    </w:p>
    <w:p w14:paraId="77D7417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（10）乙方有责任按照甲、乙双方有关食品安全突发事件应急预案快速处理，并依法承担相应责任；</w:t>
      </w:r>
    </w:p>
    <w:p w14:paraId="668058C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11）乙方有责任按合同的承诺按质按时配送食材，如有降低食材质量标准、延时、减量、服务态度恶劣、随意变更供应方案、严重缺失食材安全保障条件等情况，视为违约行为，将酌情进行处罚，罚金从乙方货款中直接扣除，情节严重的，甲方可以单方解除与乙方的合同，并追究法律责任；</w:t>
      </w:r>
    </w:p>
    <w:p w14:paraId="0A307F6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（12）对鲜鸡蛋等易破损食材的配送，乙方应考虑到运输破损给各校有一定的破损备用货物，并依据实际破损数量进行更换。</w:t>
      </w:r>
    </w:p>
    <w:p w14:paraId="7F6AD7C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（13）乙方配送的食材因质量问题发生食品安全事故的，除按照上述第十一条第10款执行外还应负责处理事故的一切费用包括诊疗费、检验检疫费、相关部门的处罚金等费用，涉嫌犯罪的移送司法机关依法处理。</w:t>
      </w:r>
    </w:p>
    <w:p w14:paraId="4F358A93">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（14）根据配送情况，甲方对乙方配送食材的质量、成分、单位含量、病菌、农药残留、添加剂含量进行的相关检测、检验检疫，费用由乙方承担。</w:t>
      </w:r>
    </w:p>
    <w:p w14:paraId="2B7255B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（15）甲方对乙方的资质审核、环境评审检测费用，由乙方承担。</w:t>
      </w:r>
    </w:p>
    <w:p w14:paraId="5D6621D3">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第十二条 合同的变更和终止</w:t>
      </w:r>
    </w:p>
    <w:p w14:paraId="118E091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除《中华人民共和国政府采购法》第49条、第50条第二款规定的情形外，本合同一经签订，甲乙双方不得擅自变更、中止或终止合同，但出现下列情况时可终止合同：</w:t>
      </w:r>
    </w:p>
    <w:p w14:paraId="2E0BD26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1、乙方违反本合同中任一条款的。</w:t>
      </w:r>
    </w:p>
    <w:p w14:paraId="2DDC408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2、乙方有违反相关</w:t>
      </w:r>
      <w:r>
        <w:rPr>
          <w:rFonts w:hint="eastAsia" w:ascii="仿宋_GB2312" w:hAnsi="仿宋_GB2312" w:eastAsia="仿宋_GB2312" w:cs="仿宋_GB2312"/>
          <w:color w:val="auto"/>
          <w:sz w:val="30"/>
          <w:szCs w:val="30"/>
          <w:lang w:eastAsia="zh-CN"/>
        </w:rPr>
        <w:t>法律法规</w:t>
      </w:r>
      <w:r>
        <w:rPr>
          <w:rFonts w:hint="eastAsia" w:ascii="仿宋_GB2312" w:hAnsi="仿宋_GB2312" w:eastAsia="仿宋_GB2312" w:cs="仿宋_GB2312"/>
          <w:color w:val="auto"/>
          <w:sz w:val="30"/>
          <w:szCs w:val="30"/>
        </w:rPr>
        <w:t>现象的。</w:t>
      </w:r>
    </w:p>
    <w:p w14:paraId="1725E607">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3、因政策变化需要终止时无条件终止合同。</w:t>
      </w:r>
    </w:p>
    <w:p w14:paraId="74EECF0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w:t>
      </w:r>
      <w:r>
        <w:rPr>
          <w:rFonts w:hint="eastAsia" w:ascii="仿宋_GB2312" w:hAnsi="仿宋_GB2312" w:eastAsia="仿宋_GB2312" w:cs="仿宋_GB2312"/>
          <w:color w:val="auto"/>
          <w:sz w:val="30"/>
          <w:szCs w:val="30"/>
          <w:lang w:val="en-US" w:eastAsia="zh-CN"/>
        </w:rPr>
        <w:t>甲方</w:t>
      </w:r>
      <w:r>
        <w:rPr>
          <w:rFonts w:hint="eastAsia" w:ascii="仿宋_GB2312" w:hAnsi="仿宋_GB2312" w:eastAsia="仿宋_GB2312" w:cs="仿宋_GB2312"/>
          <w:color w:val="auto"/>
          <w:sz w:val="30"/>
          <w:szCs w:val="30"/>
        </w:rPr>
        <w:t>对</w:t>
      </w:r>
      <w:r>
        <w:rPr>
          <w:rFonts w:hint="eastAsia" w:ascii="仿宋_GB2312" w:hAnsi="仿宋_GB2312" w:eastAsia="仿宋_GB2312" w:cs="仿宋_GB2312"/>
          <w:color w:val="auto"/>
          <w:sz w:val="30"/>
          <w:szCs w:val="30"/>
          <w:lang w:val="en-US" w:eastAsia="zh-CN"/>
        </w:rPr>
        <w:t>乙方</w:t>
      </w:r>
      <w:r>
        <w:rPr>
          <w:rFonts w:hint="eastAsia" w:ascii="仿宋_GB2312" w:hAnsi="仿宋_GB2312" w:eastAsia="仿宋_GB2312" w:cs="仿宋_GB2312"/>
          <w:color w:val="auto"/>
          <w:sz w:val="30"/>
          <w:szCs w:val="30"/>
        </w:rPr>
        <w:t>提供的食材进行成本审核、质量监管、服务考评、环境评审，一经认定有不规范之现象的。</w:t>
      </w:r>
    </w:p>
    <w:p w14:paraId="47A8C007">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第十三条 争议的解决</w:t>
      </w:r>
    </w:p>
    <w:p w14:paraId="311E1B9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1、因货物的质量问题发生争议，由质量技术监督部门或其指定的质量鉴定机构进行质量鉴定。货物符合标准的，鉴定费由甲方承担；货物不符合质量标准的，鉴定费由乙方承担。</w:t>
      </w:r>
    </w:p>
    <w:p w14:paraId="0BDB600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2、因履行本合同引起的或与本合同有关的争议，甲、乙双方应首先通过友好协商解决，如果协商不成，双方均有权向甲方所在地有管辖权的人民法院提起诉讼；</w:t>
      </w:r>
    </w:p>
    <w:p w14:paraId="3599DF4C">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第十四条 合同文件</w:t>
      </w:r>
    </w:p>
    <w:p w14:paraId="6B69A0B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详细技术说明及其他有关合同项目的特定信息由合同附件予以说明，下列文件构成本合同的组成部分，应该认为是一个整体，彼此相互解释，相互补充。组成合同的多个文件的优先支配地位的次序如下：</w:t>
      </w:r>
    </w:p>
    <w:p w14:paraId="6D220A2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1、本合同书</w:t>
      </w:r>
    </w:p>
    <w:p w14:paraId="77CE7DC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2、中标通知书</w:t>
      </w:r>
    </w:p>
    <w:p w14:paraId="04076E0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3、协议</w:t>
      </w:r>
    </w:p>
    <w:p w14:paraId="22E606E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4、招标文件(含澄清文件)</w:t>
      </w:r>
    </w:p>
    <w:p w14:paraId="310F08F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5、投标文件</w:t>
      </w:r>
    </w:p>
    <w:p w14:paraId="5A5AE9E6">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val="0"/>
          <w:color w:val="auto"/>
          <w:sz w:val="30"/>
          <w:szCs w:val="30"/>
        </w:rPr>
      </w:pPr>
      <w:r>
        <w:rPr>
          <w:rFonts w:hint="eastAsia" w:ascii="仿宋_GB2312" w:hAnsi="仿宋_GB2312" w:eastAsia="仿宋_GB2312" w:cs="仿宋_GB2312"/>
          <w:b/>
          <w:bCs w:val="0"/>
          <w:color w:val="auto"/>
          <w:sz w:val="30"/>
          <w:szCs w:val="30"/>
        </w:rPr>
        <w:t>第十五条 合同生效及其他</w:t>
      </w:r>
    </w:p>
    <w:p w14:paraId="6DA37F9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1、如有未尽事宜，由双方依法订立补充合同。</w:t>
      </w:r>
    </w:p>
    <w:p w14:paraId="7EE2FCD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2、因客观原因未进行下年度采购招标的情况下，为了不影响学生的营养改善计划，乙方在合同签订的供货配送时间段内没有发生任何事故，可由乙方按照合同所签标准延续配送。</w:t>
      </w:r>
    </w:p>
    <w:p w14:paraId="487ABC6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3、本合同一式</w:t>
      </w:r>
      <w:r>
        <w:rPr>
          <w:rFonts w:hint="eastAsia" w:ascii="仿宋_GB2312" w:hAnsi="仿宋_GB2312" w:eastAsia="仿宋_GB2312" w:cs="仿宋_GB2312"/>
          <w:color w:val="auto"/>
          <w:sz w:val="30"/>
          <w:szCs w:val="30"/>
          <w:u w:val="single"/>
        </w:rPr>
        <w:t>六</w:t>
      </w:r>
      <w:r>
        <w:rPr>
          <w:rFonts w:hint="eastAsia" w:ascii="仿宋_GB2312" w:hAnsi="仿宋_GB2312" w:eastAsia="仿宋_GB2312" w:cs="仿宋_GB2312"/>
          <w:color w:val="auto"/>
          <w:sz w:val="30"/>
          <w:szCs w:val="30"/>
        </w:rPr>
        <w:t>份，具有同等法律效力，甲乙双方各执</w:t>
      </w:r>
      <w:r>
        <w:rPr>
          <w:rFonts w:hint="eastAsia" w:ascii="仿宋_GB2312" w:hAnsi="仿宋_GB2312" w:eastAsia="仿宋_GB2312" w:cs="仿宋_GB2312"/>
          <w:color w:val="auto"/>
          <w:sz w:val="30"/>
          <w:szCs w:val="30"/>
          <w:u w:val="single"/>
        </w:rPr>
        <w:t>两</w:t>
      </w:r>
      <w:r>
        <w:rPr>
          <w:rFonts w:hint="eastAsia" w:ascii="仿宋_GB2312" w:hAnsi="仿宋_GB2312" w:eastAsia="仿宋_GB2312" w:cs="仿宋_GB2312"/>
          <w:color w:val="auto"/>
          <w:sz w:val="30"/>
          <w:szCs w:val="30"/>
        </w:rPr>
        <w:t>份，采购中心</w:t>
      </w:r>
      <w:r>
        <w:rPr>
          <w:rFonts w:hint="eastAsia" w:ascii="仿宋_GB2312" w:hAnsi="仿宋_GB2312" w:eastAsia="仿宋_GB2312" w:cs="仿宋_GB2312"/>
          <w:color w:val="auto"/>
          <w:sz w:val="30"/>
          <w:szCs w:val="30"/>
          <w:u w:val="single"/>
          <w:lang w:val="en-US" w:eastAsia="zh-CN"/>
        </w:rPr>
        <w:t xml:space="preserve"> 一 </w:t>
      </w:r>
      <w:r>
        <w:rPr>
          <w:rFonts w:hint="eastAsia" w:ascii="仿宋_GB2312" w:hAnsi="仿宋_GB2312" w:eastAsia="仿宋_GB2312" w:cs="仿宋_GB2312"/>
          <w:color w:val="auto"/>
          <w:sz w:val="30"/>
          <w:szCs w:val="30"/>
          <w:lang w:val="en-US" w:eastAsia="zh-CN"/>
        </w:rPr>
        <w:t>份</w:t>
      </w:r>
      <w:r>
        <w:rPr>
          <w:rFonts w:hint="eastAsia" w:ascii="仿宋_GB2312" w:hAnsi="仿宋_GB2312" w:eastAsia="仿宋_GB2312" w:cs="仿宋_GB2312"/>
          <w:color w:val="auto"/>
          <w:sz w:val="30"/>
          <w:szCs w:val="30"/>
        </w:rPr>
        <w:t>，采购管理股</w:t>
      </w:r>
      <w:r>
        <w:rPr>
          <w:rFonts w:hint="eastAsia" w:ascii="仿宋_GB2312" w:hAnsi="仿宋_GB2312" w:eastAsia="仿宋_GB2312" w:cs="仿宋_GB2312"/>
          <w:color w:val="auto"/>
          <w:sz w:val="30"/>
          <w:szCs w:val="30"/>
          <w:u w:val="single"/>
          <w:lang w:val="en-US" w:eastAsia="zh-CN"/>
        </w:rPr>
        <w:t xml:space="preserve"> 一 </w:t>
      </w:r>
      <w:r>
        <w:rPr>
          <w:rFonts w:hint="eastAsia" w:ascii="仿宋_GB2312" w:hAnsi="仿宋_GB2312" w:eastAsia="仿宋_GB2312" w:cs="仿宋_GB2312"/>
          <w:color w:val="auto"/>
          <w:sz w:val="30"/>
          <w:szCs w:val="30"/>
          <w:lang w:val="en-US" w:eastAsia="zh-CN"/>
        </w:rPr>
        <w:t>份</w:t>
      </w:r>
      <w:r>
        <w:rPr>
          <w:rFonts w:hint="eastAsia" w:ascii="仿宋_GB2312" w:hAnsi="仿宋_GB2312" w:eastAsia="仿宋_GB2312" w:cs="仿宋_GB2312"/>
          <w:color w:val="auto"/>
          <w:sz w:val="30"/>
          <w:szCs w:val="30"/>
        </w:rPr>
        <w:t>。</w:t>
      </w:r>
    </w:p>
    <w:tbl>
      <w:tblPr>
        <w:tblStyle w:val="9"/>
        <w:tblpPr w:leftFromText="180" w:rightFromText="180" w:vertAnchor="text" w:horzAnchor="page" w:tblpX="1486" w:tblpY="550"/>
        <w:tblOverlap w:val="never"/>
        <w:tblW w:w="92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93"/>
        <w:gridCol w:w="2458"/>
        <w:gridCol w:w="1777"/>
        <w:gridCol w:w="3270"/>
      </w:tblGrid>
      <w:tr w14:paraId="1B14A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3" w:hRule="atLeast"/>
        </w:trPr>
        <w:tc>
          <w:tcPr>
            <w:tcW w:w="1793" w:type="dxa"/>
            <w:tcBorders>
              <w:tl2br w:val="nil"/>
              <w:tr2bl w:val="nil"/>
            </w:tcBorders>
            <w:noWrap w:val="0"/>
            <w:vAlign w:val="center"/>
          </w:tcPr>
          <w:p w14:paraId="7D42374C">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甲</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方：</w:t>
            </w:r>
          </w:p>
        </w:tc>
        <w:tc>
          <w:tcPr>
            <w:tcW w:w="2458" w:type="dxa"/>
            <w:tcBorders>
              <w:tl2br w:val="nil"/>
              <w:tr2bl w:val="nil"/>
            </w:tcBorders>
            <w:noWrap w:val="0"/>
            <w:vAlign w:val="center"/>
          </w:tcPr>
          <w:p w14:paraId="145396A2">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三原县教育局</w:t>
            </w:r>
          </w:p>
          <w:p w14:paraId="6C29BD28">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（盖章）</w:t>
            </w:r>
          </w:p>
        </w:tc>
        <w:tc>
          <w:tcPr>
            <w:tcW w:w="1777" w:type="dxa"/>
            <w:tcBorders>
              <w:tl2br w:val="nil"/>
              <w:tr2bl w:val="nil"/>
            </w:tcBorders>
            <w:noWrap w:val="0"/>
            <w:vAlign w:val="center"/>
          </w:tcPr>
          <w:p w14:paraId="3FC899B9">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方：</w:t>
            </w:r>
          </w:p>
        </w:tc>
        <w:tc>
          <w:tcPr>
            <w:tcW w:w="3270" w:type="dxa"/>
            <w:tcBorders>
              <w:tl2br w:val="nil"/>
              <w:tr2bl w:val="nil"/>
            </w:tcBorders>
            <w:noWrap w:val="0"/>
            <w:vAlign w:val="center"/>
          </w:tcPr>
          <w:p w14:paraId="1AFBECCD">
            <w:pPr>
              <w:keepNext w:val="0"/>
              <w:keepLines w:val="0"/>
              <w:pageBreakBefore w:val="0"/>
              <w:widowControl w:val="0"/>
              <w:tabs>
                <w:tab w:val="left" w:pos="0"/>
              </w:tabs>
              <w:kinsoku/>
              <w:wordWrap/>
              <w:overflowPunct/>
              <w:topLinePunct w:val="0"/>
              <w:autoSpaceDE/>
              <w:autoSpaceDN/>
              <w:bidi w:val="0"/>
              <w:adjustRightInd w:val="0"/>
              <w:snapToGrid w:val="0"/>
              <w:spacing w:line="580" w:lineRule="exact"/>
              <w:ind w:left="218" w:leftChars="104" w:firstLine="0" w:firstLineChars="0"/>
              <w:jc w:val="center"/>
              <w:textAlignment w:val="auto"/>
              <w:rPr>
                <w:rFonts w:hint="eastAsia" w:ascii="仿宋_GB2312" w:hAnsi="仿宋_GB2312" w:eastAsia="仿宋_GB2312" w:cs="仿宋_GB2312"/>
                <w:color w:val="auto"/>
                <w:sz w:val="30"/>
                <w:szCs w:val="30"/>
              </w:rPr>
            </w:pPr>
          </w:p>
        </w:tc>
      </w:tr>
      <w:tr w14:paraId="1CF36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2" w:hRule="atLeast"/>
        </w:trPr>
        <w:tc>
          <w:tcPr>
            <w:tcW w:w="1793" w:type="dxa"/>
            <w:tcBorders>
              <w:tl2br w:val="nil"/>
              <w:tr2bl w:val="nil"/>
            </w:tcBorders>
            <w:noWrap w:val="0"/>
            <w:vAlign w:val="center"/>
          </w:tcPr>
          <w:p w14:paraId="7BCA469D">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法定代表人/授权代表：</w:t>
            </w:r>
          </w:p>
        </w:tc>
        <w:tc>
          <w:tcPr>
            <w:tcW w:w="2458" w:type="dxa"/>
            <w:tcBorders>
              <w:tl2br w:val="nil"/>
              <w:tr2bl w:val="nil"/>
            </w:tcBorders>
            <w:noWrap w:val="0"/>
            <w:vAlign w:val="center"/>
          </w:tcPr>
          <w:p w14:paraId="04C67620">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rPr>
            </w:pPr>
          </w:p>
        </w:tc>
        <w:tc>
          <w:tcPr>
            <w:tcW w:w="1777" w:type="dxa"/>
            <w:tcBorders>
              <w:tl2br w:val="nil"/>
              <w:tr2bl w:val="nil"/>
            </w:tcBorders>
            <w:noWrap w:val="0"/>
            <w:vAlign w:val="center"/>
          </w:tcPr>
          <w:p w14:paraId="56937621">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法定代表人/授权代表：</w:t>
            </w:r>
          </w:p>
        </w:tc>
        <w:tc>
          <w:tcPr>
            <w:tcW w:w="3270" w:type="dxa"/>
            <w:tcBorders>
              <w:tl2br w:val="nil"/>
              <w:tr2bl w:val="nil"/>
            </w:tcBorders>
            <w:noWrap w:val="0"/>
            <w:vAlign w:val="top"/>
          </w:tcPr>
          <w:p w14:paraId="61A75585">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rPr>
            </w:pPr>
          </w:p>
        </w:tc>
      </w:tr>
      <w:tr w14:paraId="4B106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60" w:hRule="atLeast"/>
        </w:trPr>
        <w:tc>
          <w:tcPr>
            <w:tcW w:w="1793" w:type="dxa"/>
            <w:tcBorders>
              <w:tl2br w:val="nil"/>
              <w:tr2bl w:val="nil"/>
            </w:tcBorders>
            <w:noWrap w:val="0"/>
            <w:vAlign w:val="top"/>
          </w:tcPr>
          <w:p w14:paraId="67835657">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地    址：</w:t>
            </w:r>
          </w:p>
        </w:tc>
        <w:tc>
          <w:tcPr>
            <w:tcW w:w="2458" w:type="dxa"/>
            <w:tcBorders>
              <w:tl2br w:val="nil"/>
              <w:tr2bl w:val="nil"/>
            </w:tcBorders>
            <w:noWrap w:val="0"/>
            <w:vAlign w:val="top"/>
          </w:tcPr>
          <w:p w14:paraId="058DA25F">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三原县</w:t>
            </w:r>
            <w:r>
              <w:rPr>
                <w:rFonts w:hint="eastAsia" w:ascii="仿宋_GB2312" w:hAnsi="仿宋_GB2312" w:eastAsia="仿宋_GB2312" w:cs="仿宋_GB2312"/>
                <w:color w:val="auto"/>
                <w:sz w:val="30"/>
                <w:szCs w:val="30"/>
                <w:lang w:val="en-US" w:eastAsia="zh-CN"/>
              </w:rPr>
              <w:t>城关镇</w:t>
            </w:r>
            <w:r>
              <w:rPr>
                <w:rFonts w:hint="eastAsia" w:ascii="仿宋_GB2312" w:hAnsi="仿宋_GB2312" w:eastAsia="仿宋_GB2312" w:cs="仿宋_GB2312"/>
                <w:color w:val="auto"/>
                <w:sz w:val="30"/>
                <w:szCs w:val="30"/>
              </w:rPr>
              <w:t>秦桐街</w:t>
            </w:r>
          </w:p>
        </w:tc>
        <w:tc>
          <w:tcPr>
            <w:tcW w:w="1777" w:type="dxa"/>
            <w:tcBorders>
              <w:tl2br w:val="nil"/>
              <w:tr2bl w:val="nil"/>
            </w:tcBorders>
            <w:noWrap w:val="0"/>
            <w:vAlign w:val="top"/>
          </w:tcPr>
          <w:p w14:paraId="333B9173">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地    址：</w:t>
            </w:r>
          </w:p>
        </w:tc>
        <w:tc>
          <w:tcPr>
            <w:tcW w:w="3270" w:type="dxa"/>
            <w:tcBorders>
              <w:tl2br w:val="nil"/>
              <w:tr2bl w:val="nil"/>
            </w:tcBorders>
            <w:noWrap w:val="0"/>
            <w:vAlign w:val="top"/>
          </w:tcPr>
          <w:p w14:paraId="333A2C84">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p>
        </w:tc>
      </w:tr>
      <w:tr w14:paraId="7A401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1793" w:type="dxa"/>
            <w:tcBorders>
              <w:tl2br w:val="nil"/>
              <w:tr2bl w:val="nil"/>
            </w:tcBorders>
            <w:noWrap w:val="0"/>
            <w:vAlign w:val="top"/>
          </w:tcPr>
          <w:p w14:paraId="4D7452A7">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开户银行：</w:t>
            </w:r>
          </w:p>
        </w:tc>
        <w:tc>
          <w:tcPr>
            <w:tcW w:w="2458" w:type="dxa"/>
            <w:tcBorders>
              <w:tl2br w:val="nil"/>
              <w:tr2bl w:val="nil"/>
            </w:tcBorders>
            <w:noWrap w:val="0"/>
            <w:vAlign w:val="top"/>
          </w:tcPr>
          <w:p w14:paraId="2D7F2AA0">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rPr>
            </w:pPr>
          </w:p>
        </w:tc>
        <w:tc>
          <w:tcPr>
            <w:tcW w:w="1777" w:type="dxa"/>
            <w:tcBorders>
              <w:tl2br w:val="nil"/>
              <w:tr2bl w:val="nil"/>
            </w:tcBorders>
            <w:noWrap w:val="0"/>
            <w:vAlign w:val="top"/>
          </w:tcPr>
          <w:p w14:paraId="774618A2">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开户银行：</w:t>
            </w:r>
          </w:p>
        </w:tc>
        <w:tc>
          <w:tcPr>
            <w:tcW w:w="3270" w:type="dxa"/>
            <w:tcBorders>
              <w:tl2br w:val="nil"/>
              <w:tr2bl w:val="nil"/>
            </w:tcBorders>
            <w:noWrap w:val="0"/>
            <w:vAlign w:val="top"/>
          </w:tcPr>
          <w:p w14:paraId="6D9E745E">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p>
        </w:tc>
      </w:tr>
      <w:tr w14:paraId="55E4B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93" w:type="dxa"/>
            <w:tcBorders>
              <w:tl2br w:val="nil"/>
              <w:tr2bl w:val="nil"/>
            </w:tcBorders>
            <w:noWrap w:val="0"/>
            <w:vAlign w:val="top"/>
          </w:tcPr>
          <w:p w14:paraId="68B90CE5">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账    号：</w:t>
            </w:r>
          </w:p>
        </w:tc>
        <w:tc>
          <w:tcPr>
            <w:tcW w:w="2458" w:type="dxa"/>
            <w:tcBorders>
              <w:tl2br w:val="nil"/>
              <w:tr2bl w:val="nil"/>
            </w:tcBorders>
            <w:noWrap w:val="0"/>
            <w:vAlign w:val="top"/>
          </w:tcPr>
          <w:p w14:paraId="0EFA2DAF">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rPr>
            </w:pPr>
          </w:p>
        </w:tc>
        <w:tc>
          <w:tcPr>
            <w:tcW w:w="1777" w:type="dxa"/>
            <w:tcBorders>
              <w:tl2br w:val="nil"/>
              <w:tr2bl w:val="nil"/>
            </w:tcBorders>
            <w:noWrap w:val="0"/>
            <w:vAlign w:val="top"/>
          </w:tcPr>
          <w:p w14:paraId="26BDBAB9">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账    号：</w:t>
            </w:r>
          </w:p>
        </w:tc>
        <w:tc>
          <w:tcPr>
            <w:tcW w:w="3270" w:type="dxa"/>
            <w:tcBorders>
              <w:tl2br w:val="nil"/>
              <w:tr2bl w:val="nil"/>
            </w:tcBorders>
            <w:noWrap w:val="0"/>
            <w:vAlign w:val="top"/>
          </w:tcPr>
          <w:p w14:paraId="354DD964">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p>
        </w:tc>
      </w:tr>
      <w:tr w14:paraId="68CDB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93" w:type="dxa"/>
            <w:tcBorders>
              <w:tl2br w:val="nil"/>
              <w:tr2bl w:val="nil"/>
            </w:tcBorders>
            <w:noWrap w:val="0"/>
            <w:vAlign w:val="top"/>
          </w:tcPr>
          <w:p w14:paraId="250AF862">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电    话：</w:t>
            </w:r>
          </w:p>
        </w:tc>
        <w:tc>
          <w:tcPr>
            <w:tcW w:w="2458" w:type="dxa"/>
            <w:tcBorders>
              <w:tl2br w:val="nil"/>
              <w:tr2bl w:val="nil"/>
            </w:tcBorders>
            <w:noWrap w:val="0"/>
            <w:vAlign w:val="top"/>
          </w:tcPr>
          <w:p w14:paraId="483C500C">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029-32282130</w:t>
            </w:r>
          </w:p>
        </w:tc>
        <w:tc>
          <w:tcPr>
            <w:tcW w:w="1777" w:type="dxa"/>
            <w:tcBorders>
              <w:tl2br w:val="nil"/>
              <w:tr2bl w:val="nil"/>
            </w:tcBorders>
            <w:noWrap w:val="0"/>
            <w:vAlign w:val="top"/>
          </w:tcPr>
          <w:p w14:paraId="1C08D1FA">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电    话：</w:t>
            </w:r>
          </w:p>
        </w:tc>
        <w:tc>
          <w:tcPr>
            <w:tcW w:w="3270" w:type="dxa"/>
            <w:tcBorders>
              <w:tl2br w:val="nil"/>
              <w:tr2bl w:val="nil"/>
            </w:tcBorders>
            <w:noWrap w:val="0"/>
            <w:vAlign w:val="top"/>
          </w:tcPr>
          <w:p w14:paraId="7E4DF7A9">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p>
        </w:tc>
      </w:tr>
      <w:tr w14:paraId="35408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1" w:hRule="atLeast"/>
        </w:trPr>
        <w:tc>
          <w:tcPr>
            <w:tcW w:w="1793" w:type="dxa"/>
            <w:tcBorders>
              <w:tl2br w:val="nil"/>
              <w:tr2bl w:val="nil"/>
            </w:tcBorders>
            <w:noWrap w:val="0"/>
            <w:vAlign w:val="top"/>
          </w:tcPr>
          <w:p w14:paraId="696028C2">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传    真：</w:t>
            </w:r>
          </w:p>
        </w:tc>
        <w:tc>
          <w:tcPr>
            <w:tcW w:w="2458" w:type="dxa"/>
            <w:tcBorders>
              <w:tl2br w:val="nil"/>
              <w:tr2bl w:val="nil"/>
            </w:tcBorders>
            <w:noWrap w:val="0"/>
            <w:vAlign w:val="top"/>
          </w:tcPr>
          <w:p w14:paraId="23DB9A3A">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029-32282130</w:t>
            </w:r>
          </w:p>
        </w:tc>
        <w:tc>
          <w:tcPr>
            <w:tcW w:w="1777" w:type="dxa"/>
            <w:tcBorders>
              <w:tl2br w:val="nil"/>
              <w:tr2bl w:val="nil"/>
            </w:tcBorders>
            <w:noWrap w:val="0"/>
            <w:vAlign w:val="top"/>
          </w:tcPr>
          <w:p w14:paraId="732F16C4">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传    真：</w:t>
            </w:r>
          </w:p>
        </w:tc>
        <w:tc>
          <w:tcPr>
            <w:tcW w:w="3270" w:type="dxa"/>
            <w:tcBorders>
              <w:tl2br w:val="nil"/>
              <w:tr2bl w:val="nil"/>
            </w:tcBorders>
            <w:noWrap w:val="0"/>
            <w:vAlign w:val="top"/>
          </w:tcPr>
          <w:p w14:paraId="08A7DD75">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rPr>
            </w:pPr>
          </w:p>
        </w:tc>
      </w:tr>
      <w:tr w14:paraId="15ACB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93" w:type="dxa"/>
            <w:tcBorders>
              <w:tl2br w:val="nil"/>
              <w:tr2bl w:val="nil"/>
            </w:tcBorders>
            <w:noWrap w:val="0"/>
            <w:vAlign w:val="top"/>
          </w:tcPr>
          <w:p w14:paraId="079EAC26">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签约日期：</w:t>
            </w:r>
          </w:p>
        </w:tc>
        <w:tc>
          <w:tcPr>
            <w:tcW w:w="2458" w:type="dxa"/>
            <w:tcBorders>
              <w:tl2br w:val="nil"/>
              <w:tr2bl w:val="nil"/>
            </w:tcBorders>
            <w:noWrap w:val="0"/>
            <w:vAlign w:val="top"/>
          </w:tcPr>
          <w:p w14:paraId="7369EB2A">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年  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日</w:t>
            </w:r>
          </w:p>
        </w:tc>
        <w:tc>
          <w:tcPr>
            <w:tcW w:w="1777" w:type="dxa"/>
            <w:tcBorders>
              <w:tl2br w:val="nil"/>
              <w:tr2bl w:val="nil"/>
            </w:tcBorders>
            <w:noWrap w:val="0"/>
            <w:vAlign w:val="top"/>
          </w:tcPr>
          <w:p w14:paraId="7EDD3A02">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签约日期：</w:t>
            </w:r>
          </w:p>
        </w:tc>
        <w:tc>
          <w:tcPr>
            <w:tcW w:w="3270" w:type="dxa"/>
            <w:tcBorders>
              <w:tl2br w:val="nil"/>
              <w:tr2bl w:val="nil"/>
            </w:tcBorders>
            <w:noWrap w:val="0"/>
            <w:vAlign w:val="top"/>
          </w:tcPr>
          <w:p w14:paraId="1B2D6795">
            <w:pPr>
              <w:keepNext w:val="0"/>
              <w:keepLines w:val="0"/>
              <w:pageBreakBefore w:val="0"/>
              <w:widowControl w:val="0"/>
              <w:kinsoku/>
              <w:wordWrap/>
              <w:overflowPunct/>
              <w:topLinePunct w:val="0"/>
              <w:autoSpaceDE/>
              <w:autoSpaceDN/>
              <w:bidi w:val="0"/>
              <w:adjustRightInd w:val="0"/>
              <w:snapToGrid w:val="0"/>
              <w:spacing w:line="58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 xml:space="preserve"> </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年   月</w:t>
            </w: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 xml:space="preserve">  日</w:t>
            </w:r>
          </w:p>
        </w:tc>
      </w:tr>
    </w:tbl>
    <w:p w14:paraId="27405793">
      <w:pPr>
        <w:pStyle w:val="2"/>
        <w:rPr>
          <w:color w:val="auto"/>
        </w:rPr>
      </w:pPr>
    </w:p>
    <w:p w14:paraId="74B177BD">
      <w:r>
        <w:br w:type="page"/>
      </w:r>
    </w:p>
    <w:p w14:paraId="03D8522E">
      <w:pPr>
        <w:keepNext w:val="0"/>
        <w:keepLines w:val="0"/>
        <w:pageBreakBefore w:val="0"/>
        <w:widowControl w:val="0"/>
        <w:kinsoku/>
        <w:wordWrap/>
        <w:overflowPunct/>
        <w:topLinePunct w:val="0"/>
        <w:autoSpaceDE/>
        <w:autoSpaceDN/>
        <w:bidi w:val="0"/>
        <w:adjustRightInd w:val="0"/>
        <w:snapToGrid w:val="0"/>
        <w:spacing w:line="660" w:lineRule="exact"/>
        <w:jc w:val="both"/>
        <w:textAlignment w:val="auto"/>
        <w:rPr>
          <w:rFonts w:hint="default" w:ascii="方正小标宋简体" w:hAnsi="方正小标宋简体" w:eastAsia="方正小标宋简体" w:cs="方正小标宋简体"/>
          <w:color w:val="auto"/>
          <w:sz w:val="22"/>
          <w:szCs w:val="22"/>
          <w:lang w:val="en-US" w:eastAsia="zh-CN"/>
        </w:rPr>
      </w:pPr>
      <w:r>
        <w:rPr>
          <w:rFonts w:hint="eastAsia" w:ascii="方正小标宋简体" w:hAnsi="方正小标宋简体" w:eastAsia="方正小标宋简体" w:cs="方正小标宋简体"/>
          <w:color w:val="auto"/>
          <w:sz w:val="22"/>
          <w:szCs w:val="22"/>
          <w:lang w:val="en-US" w:eastAsia="zh-CN"/>
        </w:rPr>
        <w:t>（包8合同模板）</w:t>
      </w:r>
    </w:p>
    <w:p w14:paraId="3500221F">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6EE8AA6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45E1E905">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32"/>
          <w:szCs w:val="32"/>
          <w:lang w:eastAsia="zh-CN"/>
        </w:rPr>
      </w:pPr>
      <w:r>
        <w:rPr>
          <w:rFonts w:hint="eastAsia" w:ascii="方正小标宋简体" w:hAnsi="方正小标宋简体" w:eastAsia="方正小标宋简体" w:cs="方正小标宋简体"/>
          <w:color w:val="000000"/>
          <w:sz w:val="44"/>
          <w:szCs w:val="44"/>
          <w:lang w:eastAsia="zh-CN"/>
        </w:rPr>
        <w:t>三原县2026年校园餐及农村义务教育学生营养改善计划政府采购</w:t>
      </w:r>
      <w:r>
        <w:rPr>
          <w:rFonts w:hint="eastAsia" w:ascii="方正小标宋简体" w:hAnsi="方正小标宋简体" w:eastAsia="方正小标宋简体" w:cs="方正小标宋简体"/>
          <w:color w:val="000000"/>
          <w:sz w:val="44"/>
          <w:szCs w:val="44"/>
        </w:rPr>
        <w:t>合同</w:t>
      </w:r>
    </w:p>
    <w:p w14:paraId="5999EAB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30"/>
          <w:szCs w:val="30"/>
          <w:lang w:eastAsia="zh-CN"/>
        </w:rPr>
      </w:pPr>
      <w:r>
        <w:rPr>
          <w:rFonts w:hint="eastAsia" w:ascii="方正小标宋简体" w:hAnsi="方正小标宋简体" w:eastAsia="方正小标宋简体" w:cs="方正小标宋简体"/>
          <w:color w:val="000000"/>
          <w:sz w:val="30"/>
          <w:szCs w:val="30"/>
          <w:lang w:eastAsia="zh-CN"/>
        </w:rPr>
        <w:t>（</w:t>
      </w:r>
      <w:r>
        <w:rPr>
          <w:rFonts w:hint="eastAsia" w:ascii="方正小标宋简体" w:hAnsi="方正小标宋简体" w:eastAsia="方正小标宋简体" w:cs="方正小标宋简体"/>
          <w:color w:val="000000"/>
          <w:sz w:val="30"/>
          <w:szCs w:val="30"/>
        </w:rPr>
        <w:t>项目编号：</w:t>
      </w:r>
      <w:r>
        <w:rPr>
          <w:rFonts w:hint="eastAsia" w:ascii="方正小标宋简体" w:hAnsi="方正小标宋简体" w:eastAsia="方正小标宋简体" w:cs="方正小标宋简体"/>
          <w:color w:val="000000"/>
          <w:sz w:val="30"/>
          <w:szCs w:val="30"/>
          <w:lang w:val="en-US" w:eastAsia="zh-CN"/>
        </w:rPr>
        <w:t xml:space="preserve">      </w:t>
      </w:r>
      <w:r>
        <w:rPr>
          <w:rFonts w:hint="eastAsia" w:ascii="方正小标宋简体" w:hAnsi="方正小标宋简体" w:eastAsia="方正小标宋简体" w:cs="方正小标宋简体"/>
          <w:color w:val="000000"/>
          <w:sz w:val="30"/>
          <w:szCs w:val="30"/>
          <w:lang w:eastAsia="zh-CN"/>
        </w:rPr>
        <w:t>）</w:t>
      </w:r>
    </w:p>
    <w:p w14:paraId="34DC2C0A">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2BB1C950">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2A92BF1A">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39A6AA93">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2A16B684">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5805A0FB">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5D8B366C">
      <w:pPr>
        <w:rPr>
          <w:rFonts w:hint="eastAsia" w:ascii="Calibri" w:hAnsi="Calibri"/>
          <w:szCs w:val="22"/>
        </w:rPr>
      </w:pPr>
    </w:p>
    <w:p w14:paraId="7B9E86C5">
      <w:pPr>
        <w:rPr>
          <w:rFonts w:hint="eastAsia" w:ascii="Calibri" w:hAnsi="Calibri"/>
          <w:szCs w:val="22"/>
        </w:rPr>
      </w:pPr>
    </w:p>
    <w:p w14:paraId="4FEDEC0B">
      <w:pPr>
        <w:widowControl w:val="0"/>
        <w:ind w:left="100"/>
        <w:jc w:val="both"/>
        <w:rPr>
          <w:rFonts w:hint="eastAsia" w:ascii="宋体" w:hAnsi="Calibri" w:eastAsia="宋体" w:cs="宋体"/>
          <w:kern w:val="2"/>
          <w:sz w:val="21"/>
          <w:szCs w:val="22"/>
          <w:lang w:val="en-US" w:eastAsia="zh-CN" w:bidi="ar-SA"/>
        </w:rPr>
      </w:pPr>
    </w:p>
    <w:p w14:paraId="7C52E02C">
      <w:pPr>
        <w:rPr>
          <w:rFonts w:hint="eastAsia" w:ascii="Calibri" w:hAnsi="Calibri"/>
          <w:szCs w:val="22"/>
        </w:rPr>
      </w:pPr>
    </w:p>
    <w:p w14:paraId="7D91DEE2">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3360B4FB">
      <w:pPr>
        <w:rPr>
          <w:rFonts w:hint="eastAsia" w:ascii="Calibri" w:hAnsi="Calibri"/>
          <w:szCs w:val="22"/>
        </w:rPr>
      </w:pPr>
    </w:p>
    <w:p w14:paraId="41081E83">
      <w:pPr>
        <w:keepNext w:val="0"/>
        <w:keepLines w:val="0"/>
        <w:pageBreakBefore w:val="0"/>
        <w:widowControl w:val="0"/>
        <w:kinsoku/>
        <w:wordWrap/>
        <w:overflowPunct/>
        <w:topLinePunct w:val="0"/>
        <w:autoSpaceDE/>
        <w:autoSpaceDN/>
        <w:bidi w:val="0"/>
        <w:adjustRightInd w:val="0"/>
        <w:snapToGrid w:val="0"/>
        <w:spacing w:line="640" w:lineRule="exact"/>
        <w:ind w:firstLine="1807" w:firstLineChars="600"/>
        <w:jc w:val="both"/>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rPr>
        <w:t>甲方：</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b/>
          <w:bCs/>
          <w:color w:val="000000"/>
          <w:sz w:val="30"/>
          <w:szCs w:val="30"/>
          <w:u w:val="single"/>
        </w:rPr>
        <w:t>三原县教育局</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b/>
          <w:bCs/>
          <w:color w:val="000000"/>
          <w:sz w:val="30"/>
          <w:szCs w:val="30"/>
          <w:lang w:val="en-US" w:eastAsia="zh-CN"/>
        </w:rPr>
        <w:t xml:space="preserve">    </w:t>
      </w:r>
    </w:p>
    <w:p w14:paraId="1362492E">
      <w:pPr>
        <w:keepNext w:val="0"/>
        <w:keepLines w:val="0"/>
        <w:pageBreakBefore w:val="0"/>
        <w:widowControl w:val="0"/>
        <w:kinsoku/>
        <w:wordWrap/>
        <w:overflowPunct/>
        <w:topLinePunct w:val="0"/>
        <w:autoSpaceDE/>
        <w:autoSpaceDN/>
        <w:bidi w:val="0"/>
        <w:adjustRightInd w:val="0"/>
        <w:snapToGrid w:val="0"/>
        <w:spacing w:line="640" w:lineRule="exact"/>
        <w:ind w:firstLine="1807" w:firstLineChars="600"/>
        <w:jc w:val="both"/>
        <w:textAlignment w:val="auto"/>
        <w:rPr>
          <w:rFonts w:hint="default" w:ascii="仿宋_GB2312" w:hAnsi="仿宋_GB2312" w:eastAsia="仿宋_GB2312" w:cs="仿宋_GB2312"/>
          <w:b/>
          <w:bCs/>
          <w:color w:val="000000"/>
          <w:sz w:val="30"/>
          <w:szCs w:val="30"/>
          <w:u w:val="single"/>
          <w:lang w:val="en-US" w:eastAsia="zh-CN"/>
        </w:rPr>
      </w:pPr>
      <w:r>
        <w:rPr>
          <w:rFonts w:hint="eastAsia" w:ascii="仿宋_GB2312" w:hAnsi="仿宋_GB2312" w:eastAsia="仿宋_GB2312" w:cs="仿宋_GB2312"/>
          <w:b/>
          <w:bCs/>
          <w:color w:val="000000"/>
          <w:sz w:val="30"/>
          <w:szCs w:val="30"/>
        </w:rPr>
        <w:t>乙方：</w:t>
      </w:r>
      <w:r>
        <w:rPr>
          <w:rFonts w:hint="eastAsia" w:ascii="仿宋_GB2312" w:hAnsi="仿宋_GB2312" w:eastAsia="仿宋_GB2312" w:cs="仿宋_GB2312"/>
          <w:b/>
          <w:bCs/>
          <w:color w:val="000000"/>
          <w:sz w:val="30"/>
          <w:szCs w:val="30"/>
          <w:u w:val="single"/>
          <w:lang w:val="en-US" w:eastAsia="zh-CN"/>
        </w:rPr>
        <w:t xml:space="preserve">                              </w:t>
      </w:r>
    </w:p>
    <w:p w14:paraId="5B7522DB">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2EDB1C4E">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36"/>
          <w:szCs w:val="36"/>
          <w:lang w:val="en-US" w:eastAsia="zh-CN"/>
        </w:rPr>
      </w:pPr>
    </w:p>
    <w:p w14:paraId="1DD7D241">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default" w:ascii="方正小标宋简体" w:hAnsi="方正小标宋简体" w:eastAsia="方正小标宋简体" w:cs="方正小标宋简体"/>
          <w:color w:val="000000"/>
          <w:sz w:val="36"/>
          <w:szCs w:val="36"/>
          <w:lang w:val="en-US" w:eastAsia="zh-CN"/>
        </w:rPr>
      </w:pPr>
      <w:r>
        <w:rPr>
          <w:rFonts w:hint="eastAsia" w:ascii="方正小标宋简体" w:hAnsi="方正小标宋简体" w:eastAsia="方正小标宋简体" w:cs="方正小标宋简体"/>
          <w:color w:val="000000"/>
          <w:sz w:val="36"/>
          <w:szCs w:val="36"/>
          <w:lang w:val="en-US" w:eastAsia="zh-CN"/>
        </w:rPr>
        <w:t>2026年   月</w:t>
      </w:r>
    </w:p>
    <w:p w14:paraId="093BDB60">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sectPr>
          <w:pgSz w:w="11905" w:h="16838" w:orient="landscape"/>
          <w:pgMar w:top="1440" w:right="1587" w:bottom="1440" w:left="1474" w:header="851" w:footer="992" w:gutter="0"/>
          <w:pgBorders>
            <w:top w:val="none" w:sz="0" w:space="0"/>
            <w:left w:val="none" w:sz="0" w:space="0"/>
            <w:bottom w:val="none" w:sz="0" w:space="0"/>
            <w:right w:val="none" w:sz="0" w:space="0"/>
          </w:pgBorders>
          <w:pgNumType w:fmt="decimal"/>
          <w:cols w:space="0" w:num="1"/>
          <w:docGrid w:type="lines" w:linePitch="312" w:charSpace="0"/>
        </w:sectPr>
      </w:pPr>
    </w:p>
    <w:p w14:paraId="6FDDB08F">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eastAsia="zh-CN"/>
        </w:rPr>
        <w:t>三原县2026年校园餐及农村义务教育学生营养改善计划政府采购</w:t>
      </w:r>
      <w:r>
        <w:rPr>
          <w:rFonts w:hint="eastAsia" w:ascii="方正小标宋简体" w:hAnsi="方正小标宋简体" w:eastAsia="方正小标宋简体" w:cs="方正小标宋简体"/>
          <w:color w:val="000000"/>
          <w:sz w:val="44"/>
          <w:szCs w:val="44"/>
        </w:rPr>
        <w:t>合同</w:t>
      </w:r>
    </w:p>
    <w:p w14:paraId="65FDC5FE">
      <w:pPr>
        <w:adjustRightInd w:val="0"/>
        <w:snapToGrid w:val="0"/>
        <w:spacing w:line="500" w:lineRule="exact"/>
        <w:ind w:firstLine="600" w:firstLineChars="200"/>
        <w:jc w:val="left"/>
        <w:rPr>
          <w:rFonts w:hint="eastAsia" w:ascii="黑体" w:hAnsi="黑体" w:eastAsia="黑体" w:cs="等线"/>
          <w:color w:val="000000"/>
          <w:sz w:val="30"/>
          <w:szCs w:val="30"/>
        </w:rPr>
      </w:pPr>
    </w:p>
    <w:p w14:paraId="6E14E5CA">
      <w:pPr>
        <w:keepNext w:val="0"/>
        <w:keepLines w:val="0"/>
        <w:pageBreakBefore w:val="0"/>
        <w:widowControl w:val="0"/>
        <w:kinsoku/>
        <w:wordWrap/>
        <w:overflowPunct/>
        <w:topLinePunct w:val="0"/>
        <w:autoSpaceDE/>
        <w:autoSpaceDN/>
        <w:bidi w:val="0"/>
        <w:adjustRightInd w:val="0"/>
        <w:snapToGrid w:val="0"/>
        <w:spacing w:line="550" w:lineRule="exact"/>
        <w:jc w:val="left"/>
        <w:textAlignment w:val="auto"/>
        <w:rPr>
          <w:rFonts w:hint="eastAsia" w:ascii="仿宋_GB2312" w:hAnsi="仿宋_GB2312" w:eastAsia="仿宋_GB2312" w:cs="仿宋_GB2312"/>
          <w:color w:val="000000"/>
          <w:sz w:val="30"/>
          <w:szCs w:val="30"/>
          <w:u w:val="single"/>
          <w:lang w:val="en-US" w:eastAsia="zh-CN"/>
        </w:rPr>
      </w:pPr>
      <w:r>
        <w:rPr>
          <w:rFonts w:hint="eastAsia" w:ascii="仿宋_GB2312" w:hAnsi="仿宋_GB2312" w:eastAsia="仿宋_GB2312" w:cs="仿宋_GB2312"/>
          <w:b/>
          <w:bCs/>
          <w:color w:val="000000"/>
          <w:sz w:val="30"/>
          <w:szCs w:val="30"/>
        </w:rPr>
        <w:t>甲方：</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b/>
          <w:bCs/>
          <w:color w:val="000000"/>
          <w:sz w:val="30"/>
          <w:szCs w:val="30"/>
          <w:u w:val="single"/>
        </w:rPr>
        <w:t>三原县教育局</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lang w:val="en-US" w:eastAsia="zh-CN"/>
        </w:rPr>
        <w:t xml:space="preserve">         </w:t>
      </w:r>
    </w:p>
    <w:p w14:paraId="2FF096E2">
      <w:pPr>
        <w:keepNext w:val="0"/>
        <w:keepLines w:val="0"/>
        <w:pageBreakBefore w:val="0"/>
        <w:widowControl w:val="0"/>
        <w:kinsoku/>
        <w:wordWrap/>
        <w:overflowPunct/>
        <w:topLinePunct w:val="0"/>
        <w:autoSpaceDE/>
        <w:autoSpaceDN/>
        <w:bidi w:val="0"/>
        <w:adjustRightInd w:val="0"/>
        <w:snapToGrid w:val="0"/>
        <w:spacing w:line="550" w:lineRule="exact"/>
        <w:jc w:val="left"/>
        <w:textAlignment w:val="auto"/>
        <w:rPr>
          <w:rFonts w:hint="default" w:ascii="仿宋_GB2312" w:hAnsi="仿宋_GB2312" w:eastAsia="仿宋_GB2312" w:cs="仿宋_GB2312"/>
          <w:b/>
          <w:bCs/>
          <w:color w:val="000000"/>
          <w:sz w:val="30"/>
          <w:szCs w:val="30"/>
          <w:u w:val="single"/>
          <w:lang w:val="en-US" w:eastAsia="zh-CN"/>
        </w:rPr>
      </w:pPr>
      <w:r>
        <w:rPr>
          <w:rFonts w:hint="eastAsia" w:ascii="仿宋_GB2312" w:hAnsi="仿宋_GB2312" w:eastAsia="仿宋_GB2312" w:cs="仿宋_GB2312"/>
          <w:b/>
          <w:bCs/>
          <w:color w:val="000000"/>
          <w:sz w:val="30"/>
          <w:szCs w:val="30"/>
        </w:rPr>
        <w:t>乙方：</w:t>
      </w:r>
      <w:r>
        <w:rPr>
          <w:rFonts w:hint="eastAsia" w:ascii="仿宋_GB2312" w:hAnsi="仿宋_GB2312" w:eastAsia="仿宋_GB2312" w:cs="仿宋_GB2312"/>
          <w:b/>
          <w:bCs/>
          <w:color w:val="000000"/>
          <w:sz w:val="30"/>
          <w:szCs w:val="30"/>
          <w:u w:val="single"/>
          <w:lang w:val="en-US" w:eastAsia="zh-CN"/>
        </w:rPr>
        <w:t xml:space="preserve">                            </w:t>
      </w:r>
    </w:p>
    <w:p w14:paraId="07627D35">
      <w:pPr>
        <w:keepNext w:val="0"/>
        <w:keepLines w:val="0"/>
        <w:pageBreakBefore w:val="0"/>
        <w:widowControl w:val="0"/>
        <w:kinsoku/>
        <w:wordWrap/>
        <w:overflowPunct/>
        <w:topLinePunct w:val="0"/>
        <w:autoSpaceDE/>
        <w:autoSpaceDN/>
        <w:bidi w:val="0"/>
        <w:adjustRightInd w:val="0"/>
        <w:snapToGrid w:val="0"/>
        <w:spacing w:line="550" w:lineRule="exact"/>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 xml:space="preserve">    根据《中华人民共和国政府采购法》及实施条例、《中华人民共和国民法典》和甲方（采购项目：</w:t>
      </w:r>
      <w:r>
        <w:rPr>
          <w:rFonts w:hint="eastAsia" w:ascii="仿宋_GB2312" w:hAnsi="仿宋_GB2312" w:eastAsia="仿宋_GB2312" w:cs="仿宋_GB2312"/>
          <w:color w:val="000000"/>
          <w:sz w:val="30"/>
          <w:szCs w:val="30"/>
          <w:u w:val="single"/>
          <w:lang w:val="en-US" w:eastAsia="zh-CN"/>
        </w:rPr>
        <w:t>三原县2026年校园餐及农村义务教育学生营养改善计划政府采购</w:t>
      </w:r>
      <w:r>
        <w:rPr>
          <w:rFonts w:hint="eastAsia" w:ascii="仿宋_GB2312" w:hAnsi="仿宋_GB2312" w:eastAsia="仿宋_GB2312" w:cs="仿宋_GB2312"/>
          <w:color w:val="000000"/>
          <w:sz w:val="30"/>
          <w:szCs w:val="30"/>
          <w:lang w:val="en-US" w:eastAsia="zh-CN"/>
        </w:rPr>
        <w:t>项目编号：</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color w:val="000000"/>
          <w:sz w:val="30"/>
          <w:szCs w:val="30"/>
          <w:lang w:val="en-US" w:eastAsia="zh-CN"/>
        </w:rPr>
        <w:t>）的招标文件、投标文件等有关规定，甲、乙双方在平等自愿原则下签订本合同，并共同遵守如下条款：</w:t>
      </w:r>
    </w:p>
    <w:p w14:paraId="2A18A974">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第一条 合同标的及数量</w:t>
      </w:r>
    </w:p>
    <w:p w14:paraId="02FD421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1、乙方向甲方提供下列货物（产品）：</w:t>
      </w:r>
    </w:p>
    <w:p w14:paraId="1EEBDF88">
      <w:pPr>
        <w:keepNext w:val="0"/>
        <w:keepLines w:val="0"/>
        <w:pageBreakBefore w:val="0"/>
        <w:widowControl w:val="0"/>
        <w:kinsoku/>
        <w:wordWrap/>
        <w:overflowPunct/>
        <w:topLinePunct w:val="0"/>
        <w:autoSpaceDE/>
        <w:autoSpaceDN/>
        <w:bidi w:val="0"/>
        <w:adjustRightInd w:val="0"/>
        <w:snapToGrid w:val="0"/>
        <w:spacing w:line="550" w:lineRule="exact"/>
        <w:jc w:val="center"/>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采购内容清单</w:t>
      </w:r>
    </w:p>
    <w:tbl>
      <w:tblPr>
        <w:tblStyle w:val="8"/>
        <w:tblpPr w:leftFromText="180" w:rightFromText="180" w:vertAnchor="text" w:horzAnchor="page" w:tblpX="1579" w:tblpY="302"/>
        <w:tblW w:w="8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2206"/>
        <w:gridCol w:w="1578"/>
        <w:gridCol w:w="1832"/>
        <w:gridCol w:w="854"/>
      </w:tblGrid>
      <w:tr w14:paraId="49192D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447" w:type="dxa"/>
            <w:tcBorders>
              <w:top w:val="single" w:color="auto" w:sz="12" w:space="0"/>
              <w:left w:val="single" w:color="auto" w:sz="12" w:space="0"/>
              <w:bottom w:val="single" w:color="auto" w:sz="4" w:space="0"/>
              <w:right w:val="single" w:color="auto" w:sz="4" w:space="0"/>
            </w:tcBorders>
            <w:noWrap w:val="0"/>
            <w:vAlign w:val="center"/>
          </w:tcPr>
          <w:p w14:paraId="7A12E5DD">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采购内容</w:t>
            </w:r>
          </w:p>
        </w:tc>
        <w:tc>
          <w:tcPr>
            <w:tcW w:w="2206" w:type="dxa"/>
            <w:tcBorders>
              <w:top w:val="single" w:color="auto" w:sz="12" w:space="0"/>
              <w:left w:val="single" w:color="auto" w:sz="4" w:space="0"/>
              <w:bottom w:val="single" w:color="auto" w:sz="4" w:space="0"/>
              <w:right w:val="single" w:color="auto" w:sz="4" w:space="0"/>
            </w:tcBorders>
            <w:noWrap w:val="0"/>
            <w:vAlign w:val="center"/>
          </w:tcPr>
          <w:p w14:paraId="447A03BF">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b/>
                <w:color w:val="000000"/>
                <w:sz w:val="28"/>
                <w:szCs w:val="28"/>
                <w:lang w:val="en-US" w:eastAsia="zh-CN"/>
              </w:rPr>
            </w:pPr>
            <w:r>
              <w:rPr>
                <w:rFonts w:hint="eastAsia" w:ascii="仿宋_GB2312" w:hAnsi="仿宋_GB2312" w:eastAsia="仿宋_GB2312" w:cs="仿宋_GB2312"/>
                <w:b/>
                <w:color w:val="000000"/>
                <w:sz w:val="28"/>
                <w:szCs w:val="28"/>
                <w:lang w:val="en-US" w:eastAsia="zh-CN"/>
              </w:rPr>
              <w:t>保质期</w:t>
            </w:r>
          </w:p>
        </w:tc>
        <w:tc>
          <w:tcPr>
            <w:tcW w:w="1578" w:type="dxa"/>
            <w:tcBorders>
              <w:top w:val="single" w:color="auto" w:sz="12" w:space="0"/>
              <w:left w:val="single" w:color="auto" w:sz="4" w:space="0"/>
              <w:bottom w:val="single" w:color="auto" w:sz="4" w:space="0"/>
              <w:right w:val="single" w:color="auto" w:sz="4" w:space="0"/>
            </w:tcBorders>
            <w:noWrap w:val="0"/>
            <w:vAlign w:val="center"/>
          </w:tcPr>
          <w:p w14:paraId="4C53E541">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规格、型号</w:t>
            </w:r>
          </w:p>
        </w:tc>
        <w:tc>
          <w:tcPr>
            <w:tcW w:w="1832" w:type="dxa"/>
            <w:tcBorders>
              <w:top w:val="single" w:color="auto" w:sz="12" w:space="0"/>
              <w:left w:val="single" w:color="auto" w:sz="4" w:space="0"/>
              <w:bottom w:val="single" w:color="auto" w:sz="4" w:space="0"/>
              <w:right w:val="single" w:color="auto" w:sz="4" w:space="0"/>
            </w:tcBorders>
            <w:noWrap w:val="0"/>
            <w:vAlign w:val="center"/>
          </w:tcPr>
          <w:p w14:paraId="2DF53EFC">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lang w:val="en-US" w:eastAsia="zh-CN"/>
              </w:rPr>
              <w:t>单价（元/盒）</w:t>
            </w:r>
          </w:p>
        </w:tc>
        <w:tc>
          <w:tcPr>
            <w:tcW w:w="854" w:type="dxa"/>
            <w:tcBorders>
              <w:top w:val="single" w:color="auto" w:sz="12" w:space="0"/>
              <w:left w:val="single" w:color="auto" w:sz="4" w:space="0"/>
              <w:bottom w:val="single" w:color="auto" w:sz="4" w:space="0"/>
              <w:right w:val="single" w:color="auto" w:sz="12" w:space="0"/>
            </w:tcBorders>
            <w:noWrap w:val="0"/>
            <w:vAlign w:val="center"/>
          </w:tcPr>
          <w:p w14:paraId="00B9990F">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备注</w:t>
            </w:r>
          </w:p>
        </w:tc>
      </w:tr>
      <w:tr w14:paraId="54F369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447" w:type="dxa"/>
            <w:tcBorders>
              <w:top w:val="single" w:color="auto" w:sz="4" w:space="0"/>
              <w:left w:val="single" w:color="auto" w:sz="12" w:space="0"/>
              <w:bottom w:val="single" w:color="auto" w:sz="4" w:space="0"/>
              <w:right w:val="single" w:color="auto" w:sz="4" w:space="0"/>
            </w:tcBorders>
            <w:noWrap w:val="0"/>
            <w:vAlign w:val="center"/>
          </w:tcPr>
          <w:p w14:paraId="6CFC58E8">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color w:val="000000"/>
                <w:sz w:val="28"/>
                <w:szCs w:val="28"/>
              </w:rPr>
            </w:pPr>
          </w:p>
        </w:tc>
        <w:tc>
          <w:tcPr>
            <w:tcW w:w="2206" w:type="dxa"/>
            <w:tcBorders>
              <w:top w:val="single" w:color="auto" w:sz="4" w:space="0"/>
              <w:left w:val="single" w:color="auto" w:sz="4" w:space="0"/>
              <w:bottom w:val="single" w:color="auto" w:sz="4" w:space="0"/>
              <w:right w:val="single" w:color="auto" w:sz="4" w:space="0"/>
            </w:tcBorders>
            <w:noWrap w:val="0"/>
            <w:vAlign w:val="center"/>
          </w:tcPr>
          <w:p w14:paraId="69F9AB80">
            <w:pPr>
              <w:keepNext w:val="0"/>
              <w:keepLines w:val="0"/>
              <w:pageBreakBefore w:val="0"/>
              <w:widowControl/>
              <w:suppressLineNumbers w:val="0"/>
              <w:kinsoku/>
              <w:wordWrap/>
              <w:overflowPunct/>
              <w:topLinePunct w:val="0"/>
              <w:autoSpaceDE/>
              <w:autoSpaceDN/>
              <w:bidi w:val="0"/>
              <w:spacing w:line="550" w:lineRule="exact"/>
              <w:jc w:val="left"/>
              <w:textAlignment w:val="auto"/>
              <w:rPr>
                <w:rFonts w:hint="eastAsia" w:ascii="仿宋_GB2312" w:hAnsi="仿宋_GB2312" w:eastAsia="仿宋_GB2312" w:cs="仿宋_GB2312"/>
                <w:color w:val="000000"/>
                <w:sz w:val="28"/>
                <w:szCs w:val="28"/>
                <w:lang w:val="en-US" w:eastAsia="zh-CN"/>
              </w:rPr>
            </w:pPr>
          </w:p>
        </w:tc>
        <w:tc>
          <w:tcPr>
            <w:tcW w:w="1578" w:type="dxa"/>
            <w:tcBorders>
              <w:top w:val="single" w:color="auto" w:sz="4" w:space="0"/>
              <w:left w:val="single" w:color="auto" w:sz="4" w:space="0"/>
              <w:bottom w:val="single" w:color="auto" w:sz="4" w:space="0"/>
              <w:right w:val="single" w:color="auto" w:sz="4" w:space="0"/>
            </w:tcBorders>
            <w:noWrap w:val="0"/>
            <w:vAlign w:val="center"/>
          </w:tcPr>
          <w:p w14:paraId="2F254FD6">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color w:val="000000"/>
                <w:sz w:val="28"/>
                <w:szCs w:val="28"/>
                <w:lang w:val="en-US" w:eastAsia="zh-CN"/>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14:paraId="6CC86BC6">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color w:val="000000"/>
                <w:sz w:val="28"/>
                <w:szCs w:val="28"/>
              </w:rPr>
            </w:pPr>
          </w:p>
        </w:tc>
        <w:tc>
          <w:tcPr>
            <w:tcW w:w="854" w:type="dxa"/>
            <w:tcBorders>
              <w:top w:val="single" w:color="auto" w:sz="4" w:space="0"/>
              <w:left w:val="single" w:color="auto" w:sz="4" w:space="0"/>
              <w:bottom w:val="single" w:color="auto" w:sz="4" w:space="0"/>
              <w:right w:val="single" w:color="auto" w:sz="12" w:space="0"/>
            </w:tcBorders>
            <w:noWrap w:val="0"/>
            <w:vAlign w:val="center"/>
          </w:tcPr>
          <w:p w14:paraId="5CC7EFE2">
            <w:pPr>
              <w:keepNext/>
              <w:keepLines/>
              <w:pageBreakBefore w:val="0"/>
              <w:widowControl w:val="0"/>
              <w:kinsoku/>
              <w:wordWrap/>
              <w:overflowPunct/>
              <w:topLinePunct w:val="0"/>
              <w:autoSpaceDE/>
              <w:autoSpaceDN/>
              <w:bidi w:val="0"/>
              <w:spacing w:line="550" w:lineRule="exact"/>
              <w:jc w:val="center"/>
              <w:textAlignment w:val="auto"/>
              <w:outlineLvl w:val="1"/>
              <w:rPr>
                <w:rFonts w:hint="eastAsia" w:ascii="仿宋_GB2312" w:hAnsi="仿宋_GB2312" w:eastAsia="仿宋_GB2312" w:cs="仿宋_GB2312"/>
                <w:color w:val="000000"/>
                <w:sz w:val="28"/>
                <w:szCs w:val="28"/>
              </w:rPr>
            </w:pPr>
          </w:p>
        </w:tc>
      </w:tr>
    </w:tbl>
    <w:p w14:paraId="542E792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2、交付的采购内容清单与投标文件所指明的一致。</w:t>
      </w:r>
    </w:p>
    <w:p w14:paraId="2D55B26B">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第二条 合同价款</w:t>
      </w:r>
    </w:p>
    <w:p w14:paraId="4DDADBE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1、合同总价为人民币大写：</w:t>
      </w:r>
      <w:r>
        <w:rPr>
          <w:rFonts w:hint="eastAsia" w:ascii="仿宋_GB2312" w:hAnsi="仿宋_GB2312" w:eastAsia="仿宋_GB2312" w:cs="仿宋_GB2312"/>
          <w:color w:val="000000"/>
          <w:sz w:val="30"/>
          <w:szCs w:val="30"/>
          <w:u w:val="single"/>
          <w:lang w:val="en-US" w:eastAsia="zh-CN"/>
        </w:rPr>
        <w:t xml:space="preserve">       元</w:t>
      </w:r>
      <w:r>
        <w:rPr>
          <w:rFonts w:hint="eastAsia" w:ascii="仿宋_GB2312" w:hAnsi="仿宋_GB2312" w:eastAsia="仿宋_GB2312" w:cs="仿宋_GB2312"/>
          <w:color w:val="000000"/>
          <w:sz w:val="30"/>
          <w:szCs w:val="30"/>
          <w:lang w:val="en-US" w:eastAsia="zh-CN"/>
        </w:rPr>
        <w:t>。</w:t>
      </w:r>
    </w:p>
    <w:p w14:paraId="0F3E75B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2、合同单价一次包死，不受市场价变化的影响，结算时按实际发生量，据实结算。</w:t>
      </w:r>
    </w:p>
    <w:p w14:paraId="5C9E893C">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第三条 货款支付</w:t>
      </w:r>
    </w:p>
    <w:p w14:paraId="7CAB1BB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1、供货合同价款支付方式为：本项目无预付款，具体供货天数和人数以实际为准，据实结算。如遇节假日按到校当天计算。原则上每两个月结算一次，资金结算严格按照专项资金管理办法相关程序办理。</w:t>
      </w:r>
    </w:p>
    <w:p w14:paraId="2A0AB12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2、乙方须向甲方出具合法有效的完税发票，甲方进行支付结算。</w:t>
      </w:r>
    </w:p>
    <w:p w14:paraId="216C39A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3、结算方式：银行转账。</w:t>
      </w:r>
    </w:p>
    <w:p w14:paraId="604D2D69">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第四条 供货期限、地点与配送要求</w:t>
      </w:r>
    </w:p>
    <w:p w14:paraId="517FE3F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乙方在合同签订生效之日起，按甲方指定时间、地点交货。</w:t>
      </w:r>
    </w:p>
    <w:p w14:paraId="1108D36A">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1、供货期限：2026年   月  日至2026年  月   日（以学生实际在校天数为准）</w:t>
      </w:r>
    </w:p>
    <w:p w14:paraId="5CE0ADE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2、交货地点：</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color w:val="000000"/>
          <w:sz w:val="30"/>
          <w:szCs w:val="30"/>
          <w:lang w:val="en-US" w:eastAsia="zh-CN"/>
        </w:rPr>
        <w:t>。</w:t>
      </w:r>
    </w:p>
    <w:p w14:paraId="2A8C8E3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3、配送要求：乙方每两周配送1次，使用专用车辆按时送达甲方指定地点；甲方所辖学校应指定专人在约定时间接应送奶车辆并核对品种和数量后签收。如因放假送货时间有所变动，乙方需要按照甲方要求供货。</w:t>
      </w:r>
    </w:p>
    <w:p w14:paraId="0F3BB31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4、乙方未征得甲方同意和谅解而单方面延迟交货，将按违约终止合同。</w:t>
      </w:r>
    </w:p>
    <w:p w14:paraId="6AFA570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5、乙方遇到可能妨碍按时交付和提供服务的情况，应当及时以书面形式通知甲方，说明原由、拖延的期限、采取的补救措施等，甲方在收到通知后，尽快进行情况评估并确定是否通过修改合同，酌情延长交货时间或者通过协商加收误期赔偿金。否则将按违约终止合同。</w:t>
      </w:r>
    </w:p>
    <w:p w14:paraId="48BC100C">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第五条 质量保证</w:t>
      </w:r>
    </w:p>
    <w:p w14:paraId="53E12B3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1、乙方须提供保质、保鲜、安全的合格产品，完全符合合同规定的质量、规格和重量等要求。</w:t>
      </w:r>
    </w:p>
    <w:p w14:paraId="7BEA2CC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2、因运输装卸过程中造成的损耗（例如包装严重变形、破损、食品污染、变异等）、发现的破损、变异食品必须无条件一对一更换。</w:t>
      </w:r>
    </w:p>
    <w:p w14:paraId="5469AB23">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3、质量标准按照最新颁布的国家标准、行业标准或生产厂家企业标准确定，上述标准不一致的，以严格标准为准。</w:t>
      </w:r>
    </w:p>
    <w:p w14:paraId="5EC44927">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4、提供的纯牛奶符合《产品质量法》等法律法规的规定，执行标准《食品安全国家标准 灭菌乳》GB25190-2010，《学生饮用奶 中国学生饮用奶标志》T/DAC001-2017和《学生饮用奶生牛乳》T/DAC003-2017，且是保质期内的牛奶。</w:t>
      </w:r>
    </w:p>
    <w:p w14:paraId="6E88E15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5、保证提供每批次供货牛奶的质量检验、检疫报告书和进货发票或其他有效票据。</w:t>
      </w:r>
    </w:p>
    <w:p w14:paraId="497DAB1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6、如因质量问题意外食用，并造成实际伤害及损失，将由乙方承担全部责任，甲方有权到乙方生产、供货场地检查货物质量和生产进度。</w:t>
      </w:r>
    </w:p>
    <w:p w14:paraId="2BEF790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7、保质期出现的质量问题由乙方负责解决并承担所有费用。</w:t>
      </w:r>
    </w:p>
    <w:p w14:paraId="3B93D3F3">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第六条 权利与义务</w:t>
      </w:r>
    </w:p>
    <w:p w14:paraId="3735B017">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（一）甲方权利与义务</w:t>
      </w:r>
    </w:p>
    <w:p w14:paraId="054A099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按照《三原县教育局农村义务教育学生营养改善计划实施方案》规定，对供货不规范现象，由甲方提出整改期限，到期整改不到位的，甲方有权随时终止本合同，且无需向乙方支付因此造成的任何损失的费用。</w:t>
      </w:r>
    </w:p>
    <w:p w14:paraId="793BC65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2、甲方按本合同约定的时间和金额向乙方及时支付食品供应费用。</w:t>
      </w:r>
    </w:p>
    <w:p w14:paraId="3B21BD7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3、甲方有权根据实际情况调整供应学校数、内容、享受营养改善计划的学生数，调整情况应提前5个工作日告知乙方。</w:t>
      </w:r>
    </w:p>
    <w:p w14:paraId="25CB1C4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4、甲方有权会同有关部门进行检查、监督和实地查看，发现有问题后，甲方有权要求乙方停止供货并有权终止合同。</w:t>
      </w:r>
    </w:p>
    <w:p w14:paraId="3DC0B0D7">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（二）乙方权利与义务</w:t>
      </w:r>
    </w:p>
    <w:p w14:paraId="6EF994F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both"/>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1、乙方供应的产品必须各种证件齐全，并将证件在教育局备案。乙方必须按照学生饮用奶的质量及其标识执行国家标准（GB25190-2010，T/DAC001-2017 和T/DAC003-2017）相关要求，若某些细节不能达到相关要求的，须取得教育局的书面认可，否则乙方应主动终止本合同，并向甲方提前5日以上提交终止申请，由此而造成的经济损失，由甲方在乙方货款中直接扣除，货款不足的超出部分由乙方补缴。</w:t>
      </w:r>
    </w:p>
    <w:p w14:paraId="16D7B60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2、按承诺的供货时间及时供货，配送的牛奶必须保质保量、新鲜，按先进先出原则，必须把食品安全放在第一位，所供牛奶到校日期不得大于产品保质期60天；</w:t>
      </w:r>
    </w:p>
    <w:p w14:paraId="496F67E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3、按批次做好各校留样工作，留样保存时间最少15天，留样费用由乙方承担。</w:t>
      </w:r>
    </w:p>
    <w:p w14:paraId="1FAD32C0">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4、配送牛奶所需的交通、储藏等设备、用具，必须保持清洁、卫生，经常消毒，必须使用密封装载交通工具配送；</w:t>
      </w:r>
    </w:p>
    <w:p w14:paraId="48D18C3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5、积极配合甲方做好食品安全方面的工作及其他工作。</w:t>
      </w:r>
    </w:p>
    <w:p w14:paraId="1D67E2E7">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6、乙方保证对其出售的货物或其任何一部分没有侵犯第三方的专利权、版权、商标权或其他权利。如甲方在使用该货物时构成上述侵权的，则由乙方承担全部责任。</w:t>
      </w:r>
    </w:p>
    <w:p w14:paraId="1D7C831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7、乙方每批次向甲方的使用单位配送所供产品的同时还需出具所供产品的合格证及检验报告，所有配送产品还须出具提供有资质的检测单位出具的半年内检验报告，同时提供每个批次生产厂家的自检证明，否则甲方的使用单位拒收配送产品。</w:t>
      </w:r>
    </w:p>
    <w:p w14:paraId="7F194E6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8、乙方保证对其出售的产品上不存在任何未曾向甲方透露的担保物权，如抵押权、质押权、留置权。</w:t>
      </w:r>
    </w:p>
    <w:p w14:paraId="2EDD9A4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9、乙方保证对其出售的产品或其任何一部分没有侵犯第三方的专利权、版权、商标权或其他权利。</w:t>
      </w:r>
    </w:p>
    <w:p w14:paraId="00AB48F3">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10、如甲方在使用该产品构成上述侵权的，则由乙方承担全部责任。</w:t>
      </w:r>
    </w:p>
    <w:p w14:paraId="1709E7A8">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b/>
          <w:bCs/>
          <w:color w:val="000000"/>
          <w:sz w:val="30"/>
          <w:szCs w:val="30"/>
          <w:lang w:val="en-US" w:eastAsia="zh-CN"/>
        </w:rPr>
        <w:t xml:space="preserve">第七条 包装要求与运输方式  </w:t>
      </w:r>
      <w:r>
        <w:rPr>
          <w:rFonts w:hint="eastAsia" w:ascii="仿宋_GB2312" w:hAnsi="仿宋_GB2312" w:eastAsia="仿宋_GB2312" w:cs="仿宋_GB2312"/>
          <w:color w:val="000000"/>
          <w:sz w:val="30"/>
          <w:szCs w:val="30"/>
          <w:lang w:val="en-US" w:eastAsia="zh-CN"/>
        </w:rPr>
        <w:t xml:space="preserve"> </w:t>
      </w:r>
    </w:p>
    <w:p w14:paraId="39F273C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1、除合同另有规定外，乙方提供的全部产品均应按标准保护措施进行包装，该包装应适应于远距离运输、防潮、防震、防锈和防野蛮装卸，以确保产品安全运抵指定地点。</w:t>
      </w:r>
    </w:p>
    <w:p w14:paraId="5170F79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2、产品运输方式：冷链运输或厢式货车运输。</w:t>
      </w:r>
    </w:p>
    <w:p w14:paraId="43905D5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3、乙方负责产品运输，产品运输的合理损耗及计算方法向乙方支付。</w:t>
      </w:r>
    </w:p>
    <w:p w14:paraId="43A1E10E">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第八条 产品验收、保鲜与储存</w:t>
      </w:r>
    </w:p>
    <w:p w14:paraId="364B963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1、产品验收由甲方组织，各使用单位具体实施，乙方配合，并符合下列要求：</w:t>
      </w:r>
    </w:p>
    <w:p w14:paraId="1353C11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①每次配送量应包含留样1份，留样费用由乙方负担，使用单位和乙方共同对所有食品的品种、规格、数量及保质期进行验收。</w:t>
      </w:r>
    </w:p>
    <w:p w14:paraId="13BFCDC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②乙方每次供货须向使用单位提供“供货清单”（供货清单一式三份，甲方一份，乙方一份，使用单位一份）；经验收合格后，由使用单位在“供货清单”上签字并盖单位公章。</w:t>
      </w:r>
    </w:p>
    <w:p w14:paraId="59A22F6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③若验收不合格，成交单位必须及时换货，保证使用单位的正常使用，否则将终止其供货合同，并赔偿甲方的损失。</w:t>
      </w:r>
    </w:p>
    <w:p w14:paraId="49C59A3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2、货物验收依据：</w:t>
      </w:r>
    </w:p>
    <w:p w14:paraId="05F9DF7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（1）招标文件；</w:t>
      </w:r>
    </w:p>
    <w:p w14:paraId="6F432F13">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（2）投标文件；</w:t>
      </w:r>
    </w:p>
    <w:p w14:paraId="442FC13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（3）采购合同及补充协议；</w:t>
      </w:r>
    </w:p>
    <w:p w14:paraId="15E491B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（4）产品合格的检测报告。</w:t>
      </w:r>
    </w:p>
    <w:p w14:paraId="757381E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保鲜与储存：乙方按合同约定及时将学生饮用奶送到甲方指定地点。甲方负责指导学校准备饮用奶贮备地点，保证堆叠高度不高于15层，并要求学校指定专人保管、分发和处理饮后废包。乙方有义务将储存、发放不规范的学校上报甲方。</w:t>
      </w:r>
    </w:p>
    <w:p w14:paraId="30773D2D">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第九条 售后服务及产品坏包处理</w:t>
      </w:r>
    </w:p>
    <w:p w14:paraId="65D10FC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乙方应按照国家有关法律法规和“三包”规定以及招标文件要求和投标文件的“服务承诺”提供服务。在学生饮用奶保质期内，甲方所辖学校若发现产品出现胀饱、破损漏溢、变酸、变苦、变豆腐花等问题。应立即制止学生饮用，并通知乙方对产品进行退换并协助乙方调查处理出现上述问题的原因。</w:t>
      </w:r>
    </w:p>
    <w:p w14:paraId="3A318EE3">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第十条 履约保证金</w:t>
      </w:r>
    </w:p>
    <w:p w14:paraId="4283BB1B">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乙方中标后，向县教育局缴纳</w:t>
      </w:r>
      <w:r>
        <w:rPr>
          <w:rFonts w:hint="eastAsia" w:ascii="仿宋_GB2312" w:hAnsi="仿宋_GB2312" w:eastAsia="仿宋_GB2312" w:cs="仿宋_GB2312"/>
          <w:color w:val="auto"/>
          <w:sz w:val="30"/>
          <w:szCs w:val="30"/>
          <w:u w:val="single"/>
          <w:lang w:val="en-US" w:eastAsia="zh-CN"/>
        </w:rPr>
        <w:t>50000.00</w:t>
      </w:r>
      <w:r>
        <w:rPr>
          <w:rFonts w:hint="eastAsia" w:ascii="仿宋_GB2312" w:hAnsi="仿宋_GB2312" w:eastAsia="仿宋_GB2312" w:cs="仿宋_GB2312"/>
          <w:color w:val="auto"/>
          <w:sz w:val="30"/>
          <w:szCs w:val="30"/>
        </w:rPr>
        <w:t>元履约保证金。合同期满后</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无违反合同条款行为的无息退还。若有违反合同条款行为的，按照合同约定在履约保证金中扣除应赔付的款额后，余款</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无息退还。若有不足扣款的金额，由乙方补足。</w:t>
      </w:r>
    </w:p>
    <w:p w14:paraId="30C36A8D">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第十一条 违约责任</w:t>
      </w:r>
    </w:p>
    <w:p w14:paraId="343DD0F2">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1、甲方违约责任</w:t>
      </w:r>
    </w:p>
    <w:p w14:paraId="69FD683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（1）甲方无正当理由拒收货物的，甲方应偿付合同总价</w:t>
      </w:r>
      <w:r>
        <w:rPr>
          <w:rFonts w:hint="eastAsia" w:ascii="仿宋_GB2312" w:hAnsi="仿宋_GB2312" w:eastAsia="仿宋_GB2312" w:cs="仿宋_GB2312"/>
          <w:color w:val="000000"/>
          <w:sz w:val="30"/>
          <w:szCs w:val="30"/>
          <w:u w:val="single"/>
          <w:lang w:val="en-US" w:eastAsia="zh-CN"/>
        </w:rPr>
        <w:t xml:space="preserve"> 3 % </w:t>
      </w:r>
      <w:r>
        <w:rPr>
          <w:rFonts w:hint="eastAsia" w:ascii="仿宋_GB2312" w:hAnsi="仿宋_GB2312" w:eastAsia="仿宋_GB2312" w:cs="仿宋_GB2312"/>
          <w:color w:val="000000"/>
          <w:sz w:val="30"/>
          <w:szCs w:val="30"/>
          <w:lang w:val="en-US" w:eastAsia="zh-CN"/>
        </w:rPr>
        <w:t>的违约金；</w:t>
      </w:r>
    </w:p>
    <w:p w14:paraId="3EDA33A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（2）甲方逾期支付货款的，除应及时付足货款外，应向乙方每天支付欠款总额</w:t>
      </w:r>
      <w:r>
        <w:rPr>
          <w:rFonts w:hint="eastAsia" w:ascii="仿宋_GB2312" w:hAnsi="仿宋_GB2312" w:eastAsia="仿宋_GB2312" w:cs="仿宋_GB2312"/>
          <w:color w:val="000000"/>
          <w:sz w:val="30"/>
          <w:szCs w:val="30"/>
          <w:u w:val="single"/>
          <w:lang w:val="en-US" w:eastAsia="zh-CN"/>
        </w:rPr>
        <w:t xml:space="preserve"> 3‰ </w:t>
      </w:r>
      <w:r>
        <w:rPr>
          <w:rFonts w:hint="eastAsia" w:ascii="仿宋_GB2312" w:hAnsi="仿宋_GB2312" w:eastAsia="仿宋_GB2312" w:cs="仿宋_GB2312"/>
          <w:color w:val="000000"/>
          <w:sz w:val="30"/>
          <w:szCs w:val="30"/>
          <w:lang w:val="en-US" w:eastAsia="zh-CN"/>
        </w:rPr>
        <w:t>的滞纳金；但累计滞纳金总额不超过欠款总额的</w:t>
      </w:r>
      <w:r>
        <w:rPr>
          <w:rFonts w:hint="eastAsia" w:ascii="仿宋_GB2312" w:hAnsi="仿宋_GB2312" w:eastAsia="仿宋_GB2312" w:cs="仿宋_GB2312"/>
          <w:color w:val="000000"/>
          <w:sz w:val="30"/>
          <w:szCs w:val="30"/>
          <w:u w:val="single"/>
          <w:lang w:val="en-US" w:eastAsia="zh-CN"/>
        </w:rPr>
        <w:t xml:space="preserve"> 5% </w:t>
      </w:r>
      <w:r>
        <w:rPr>
          <w:rFonts w:hint="eastAsia" w:ascii="仿宋_GB2312" w:hAnsi="仿宋_GB2312" w:eastAsia="仿宋_GB2312" w:cs="仿宋_GB2312"/>
          <w:color w:val="000000"/>
          <w:sz w:val="30"/>
          <w:szCs w:val="30"/>
          <w:lang w:val="en-US" w:eastAsia="zh-CN"/>
        </w:rPr>
        <w:t>。</w:t>
      </w:r>
    </w:p>
    <w:p w14:paraId="1969E213">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2、乙方违约责任</w:t>
      </w:r>
    </w:p>
    <w:p w14:paraId="6E5B1C1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（1）如乙方不能交付货物，甲方有权扣留全部履约保证金；同时乙方应向甲方支付合同总价</w:t>
      </w:r>
      <w:r>
        <w:rPr>
          <w:rFonts w:hint="eastAsia" w:ascii="仿宋_GB2312" w:hAnsi="仿宋_GB2312" w:eastAsia="仿宋_GB2312" w:cs="仿宋_GB2312"/>
          <w:color w:val="000000"/>
          <w:sz w:val="30"/>
          <w:szCs w:val="30"/>
          <w:u w:val="single"/>
          <w:lang w:val="en-US" w:eastAsia="zh-CN"/>
        </w:rPr>
        <w:t xml:space="preserve"> 3％ </w:t>
      </w:r>
      <w:r>
        <w:rPr>
          <w:rFonts w:hint="eastAsia" w:ascii="仿宋_GB2312" w:hAnsi="仿宋_GB2312" w:eastAsia="仿宋_GB2312" w:cs="仿宋_GB2312"/>
          <w:color w:val="000000"/>
          <w:sz w:val="30"/>
          <w:szCs w:val="30"/>
          <w:lang w:val="en-US" w:eastAsia="zh-CN"/>
        </w:rPr>
        <w:t>的违约金；</w:t>
      </w:r>
    </w:p>
    <w:p w14:paraId="3AC7A18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（2）乙方逾期交付货物的，每逾期1天，乙方向甲方偿付逾期交货部分货款总额的</w:t>
      </w:r>
      <w:r>
        <w:rPr>
          <w:rFonts w:hint="eastAsia" w:ascii="仿宋_GB2312" w:hAnsi="仿宋_GB2312" w:eastAsia="仿宋_GB2312" w:cs="仿宋_GB2312"/>
          <w:color w:val="000000"/>
          <w:sz w:val="30"/>
          <w:szCs w:val="30"/>
          <w:u w:val="single"/>
          <w:lang w:val="en-US" w:eastAsia="zh-CN"/>
        </w:rPr>
        <w:t xml:space="preserve"> 5‰</w:t>
      </w:r>
      <w:r>
        <w:rPr>
          <w:rFonts w:hint="eastAsia" w:ascii="仿宋_GB2312" w:hAnsi="仿宋_GB2312" w:eastAsia="仿宋_GB2312" w:cs="仿宋_GB2312"/>
          <w:color w:val="000000"/>
          <w:sz w:val="30"/>
          <w:szCs w:val="30"/>
          <w:lang w:val="en-US" w:eastAsia="zh-CN"/>
        </w:rPr>
        <w:t>的滞纳金。如乙方逾期交货达</w:t>
      </w:r>
      <w:r>
        <w:rPr>
          <w:rFonts w:hint="eastAsia" w:ascii="仿宋_GB2312" w:hAnsi="仿宋_GB2312" w:eastAsia="仿宋_GB2312" w:cs="仿宋_GB2312"/>
          <w:color w:val="000000"/>
          <w:sz w:val="30"/>
          <w:szCs w:val="30"/>
          <w:u w:val="single"/>
          <w:lang w:val="en-US" w:eastAsia="zh-CN"/>
        </w:rPr>
        <w:t xml:space="preserve"> 10  </w:t>
      </w:r>
      <w:r>
        <w:rPr>
          <w:rFonts w:hint="eastAsia" w:ascii="仿宋_GB2312" w:hAnsi="仿宋_GB2312" w:eastAsia="仿宋_GB2312" w:cs="仿宋_GB2312"/>
          <w:color w:val="000000"/>
          <w:sz w:val="30"/>
          <w:szCs w:val="30"/>
          <w:lang w:val="en-US" w:eastAsia="zh-CN"/>
        </w:rPr>
        <w:t>天，甲方有权解除合同，解除合同的通知自到达乙方时生效；</w:t>
      </w:r>
    </w:p>
    <w:p w14:paraId="71A775D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（3）乙方所交付的货物品种、型号、规格不符合合同规定的，甲方有权拒收。甲方拒收的，乙方应向甲方支付货款总额</w:t>
      </w:r>
      <w:r>
        <w:rPr>
          <w:rFonts w:hint="eastAsia" w:ascii="仿宋_GB2312" w:hAnsi="仿宋_GB2312" w:eastAsia="仿宋_GB2312" w:cs="仿宋_GB2312"/>
          <w:color w:val="000000"/>
          <w:sz w:val="30"/>
          <w:szCs w:val="30"/>
          <w:u w:val="single"/>
          <w:lang w:val="en-US" w:eastAsia="zh-CN"/>
        </w:rPr>
        <w:t xml:space="preserve"> 5% </w:t>
      </w:r>
      <w:r>
        <w:rPr>
          <w:rFonts w:hint="eastAsia" w:ascii="仿宋_GB2312" w:hAnsi="仿宋_GB2312" w:eastAsia="仿宋_GB2312" w:cs="仿宋_GB2312"/>
          <w:color w:val="000000"/>
          <w:sz w:val="30"/>
          <w:szCs w:val="30"/>
          <w:lang w:val="en-US" w:eastAsia="zh-CN"/>
        </w:rPr>
        <w:t>的违约金；</w:t>
      </w:r>
    </w:p>
    <w:p w14:paraId="3D32395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乙方货物经甲方送交具有法定资格条件的质量技术监督机构检测后，如检测结果认定货物质量不符合本合同规定标准的，则视为乙方没有按时交货而违约，乙方须在10天内无条件更换合格的货物，如逾期不能更换合格的货物，甲方有权终止本合同，乙方应另向甲方支付货款总额的</w:t>
      </w:r>
      <w:r>
        <w:rPr>
          <w:rFonts w:hint="eastAsia" w:ascii="仿宋_GB2312" w:hAnsi="仿宋_GB2312" w:eastAsia="仿宋_GB2312" w:cs="仿宋_GB2312"/>
          <w:color w:val="000000"/>
          <w:sz w:val="30"/>
          <w:szCs w:val="30"/>
          <w:u w:val="single"/>
          <w:lang w:val="en-US" w:eastAsia="zh-CN"/>
        </w:rPr>
        <w:t xml:space="preserve"> 3% </w:t>
      </w:r>
      <w:r>
        <w:rPr>
          <w:rFonts w:hint="eastAsia" w:ascii="仿宋_GB2312" w:hAnsi="仿宋_GB2312" w:eastAsia="仿宋_GB2312" w:cs="仿宋_GB2312"/>
          <w:color w:val="000000"/>
          <w:sz w:val="30"/>
          <w:szCs w:val="30"/>
          <w:lang w:val="en-US" w:eastAsia="zh-CN"/>
        </w:rPr>
        <w:t>的违约金；</w:t>
      </w:r>
    </w:p>
    <w:p w14:paraId="45094BE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（5）乙方未按本合同第十条的规定交付履约保证金的，应按应交付履约保证金的</w:t>
      </w:r>
      <w:r>
        <w:rPr>
          <w:rFonts w:hint="eastAsia" w:ascii="仿宋_GB2312" w:hAnsi="仿宋_GB2312" w:eastAsia="仿宋_GB2312" w:cs="仿宋_GB2312"/>
          <w:color w:val="000000"/>
          <w:sz w:val="30"/>
          <w:szCs w:val="30"/>
          <w:u w:val="single"/>
          <w:lang w:val="en-US" w:eastAsia="zh-CN"/>
        </w:rPr>
        <w:t xml:space="preserve"> 1% </w:t>
      </w:r>
      <w:r>
        <w:rPr>
          <w:rFonts w:hint="eastAsia" w:ascii="仿宋_GB2312" w:hAnsi="仿宋_GB2312" w:eastAsia="仿宋_GB2312" w:cs="仿宋_GB2312"/>
          <w:color w:val="000000"/>
          <w:sz w:val="30"/>
          <w:szCs w:val="30"/>
          <w:lang w:val="en-US" w:eastAsia="zh-CN"/>
        </w:rPr>
        <w:t>向甲方支付违约金，该违约金的支付不影响乙方应承担的其他违约责任；</w:t>
      </w:r>
    </w:p>
    <w:p w14:paraId="2A2C56E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（6）乙方未按本合同的规定和“服务承诺”提供伴随服务/售后服务的，应按合同总价款的</w:t>
      </w:r>
      <w:r>
        <w:rPr>
          <w:rFonts w:hint="eastAsia" w:ascii="仿宋_GB2312" w:hAnsi="仿宋_GB2312" w:eastAsia="仿宋_GB2312" w:cs="仿宋_GB2312"/>
          <w:color w:val="000000"/>
          <w:sz w:val="30"/>
          <w:szCs w:val="30"/>
          <w:u w:val="single"/>
          <w:lang w:val="en-US" w:eastAsia="zh-CN"/>
        </w:rPr>
        <w:t xml:space="preserve"> 2% </w:t>
      </w:r>
      <w:r>
        <w:rPr>
          <w:rFonts w:hint="eastAsia" w:ascii="仿宋_GB2312" w:hAnsi="仿宋_GB2312" w:eastAsia="仿宋_GB2312" w:cs="仿宋_GB2312"/>
          <w:color w:val="000000"/>
          <w:sz w:val="30"/>
          <w:szCs w:val="30"/>
          <w:lang w:val="en-US" w:eastAsia="zh-CN"/>
        </w:rPr>
        <w:t>向甲方承担违约责任；</w:t>
      </w:r>
    </w:p>
    <w:p w14:paraId="53ECBE3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（7）乙方在承担上述1-6款一项或多项违约责任后，仍应继续履行合同规定的义务（甲方解除合同的除外）。甲方未能及时追究乙方的任何一项违约责任，并不表明甲方放弃追究乙方该项或其他违约责任；</w:t>
      </w:r>
    </w:p>
    <w:p w14:paraId="5BF46706">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（8）乙方偿付的违约金不足以弥补甲方损失的，还应按甲方损失尚未弥补的部分，支付赔偿金给甲方。</w:t>
      </w:r>
    </w:p>
    <w:p w14:paraId="7C0D1AE3">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（9）乙方出现以下情况之一的，停止乙方学生奶的供应资格并将其清退出学生营养改善计划供餐名单，三年内不准从事本县学生营养改善计划供餐。</w:t>
      </w:r>
    </w:p>
    <w:p w14:paraId="16ABBAD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①掺杂使假，使用无证、过期、有害食品，危害学生身心健康，情节严重的；</w:t>
      </w:r>
    </w:p>
    <w:p w14:paraId="5788ECE5">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②学生奶供应期间，因乙方供应的学生奶出现问题，发生重大食品安全事故的；</w:t>
      </w:r>
    </w:p>
    <w:p w14:paraId="6BA9F7E2">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③在履约期间，停止供应或供应不及时影响营养计划正常实施的；</w:t>
      </w:r>
    </w:p>
    <w:p w14:paraId="137C7A1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fldChar w:fldCharType="begin"/>
      </w:r>
      <w:r>
        <w:rPr>
          <w:rFonts w:hint="eastAsia" w:ascii="仿宋_GB2312" w:hAnsi="仿宋_GB2312" w:eastAsia="仿宋_GB2312" w:cs="仿宋_GB2312"/>
          <w:color w:val="000000"/>
          <w:sz w:val="30"/>
          <w:szCs w:val="30"/>
          <w:lang w:val="en-US" w:eastAsia="zh-CN"/>
        </w:rPr>
        <w:instrText xml:space="preserve"> = 4 \* GB3 \* MERGEFORMAT </w:instrText>
      </w:r>
      <w:r>
        <w:rPr>
          <w:rFonts w:hint="eastAsia" w:ascii="仿宋_GB2312" w:hAnsi="仿宋_GB2312" w:eastAsia="仿宋_GB2312" w:cs="仿宋_GB2312"/>
          <w:color w:val="000000"/>
          <w:sz w:val="30"/>
          <w:szCs w:val="30"/>
          <w:lang w:val="en-US" w:eastAsia="zh-CN"/>
        </w:rPr>
        <w:fldChar w:fldCharType="separate"/>
      </w:r>
      <w:r>
        <w:rPr>
          <w:rFonts w:hint="eastAsia" w:ascii="仿宋_GB2312" w:hAnsi="仿宋_GB2312" w:eastAsia="仿宋_GB2312" w:cs="仿宋_GB2312"/>
          <w:color w:val="000000"/>
          <w:sz w:val="30"/>
          <w:szCs w:val="30"/>
          <w:lang w:val="en-US" w:eastAsia="zh-CN"/>
        </w:rPr>
        <w:t>④</w:t>
      </w:r>
      <w:r>
        <w:rPr>
          <w:rFonts w:hint="eastAsia" w:ascii="仿宋_GB2312" w:hAnsi="仿宋_GB2312" w:eastAsia="仿宋_GB2312" w:cs="仿宋_GB2312"/>
          <w:color w:val="000000"/>
          <w:sz w:val="30"/>
          <w:szCs w:val="30"/>
          <w:lang w:val="en-US" w:eastAsia="zh-CN"/>
        </w:rPr>
        <w:fldChar w:fldCharType="end"/>
      </w:r>
      <w:r>
        <w:rPr>
          <w:rFonts w:hint="eastAsia" w:ascii="仿宋_GB2312" w:hAnsi="仿宋_GB2312" w:eastAsia="仿宋_GB2312" w:cs="仿宋_GB2312"/>
          <w:color w:val="000000"/>
          <w:sz w:val="30"/>
          <w:szCs w:val="30"/>
          <w:lang w:val="en-US" w:eastAsia="zh-CN"/>
        </w:rPr>
        <w:t>在相关部门组织的营养食品质量抽检中连续不合格的。</w:t>
      </w:r>
    </w:p>
    <w:p w14:paraId="247C1BBF">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fldChar w:fldCharType="begin"/>
      </w:r>
      <w:r>
        <w:rPr>
          <w:rFonts w:hint="eastAsia" w:ascii="仿宋_GB2312" w:hAnsi="仿宋_GB2312" w:eastAsia="仿宋_GB2312" w:cs="仿宋_GB2312"/>
          <w:color w:val="000000"/>
          <w:sz w:val="30"/>
          <w:szCs w:val="30"/>
          <w:lang w:val="en-US" w:eastAsia="zh-CN"/>
        </w:rPr>
        <w:instrText xml:space="preserve"> = 5 \* GB3 \* MERGEFORMAT </w:instrText>
      </w:r>
      <w:r>
        <w:rPr>
          <w:rFonts w:hint="eastAsia" w:ascii="仿宋_GB2312" w:hAnsi="仿宋_GB2312" w:eastAsia="仿宋_GB2312" w:cs="仿宋_GB2312"/>
          <w:color w:val="000000"/>
          <w:sz w:val="30"/>
          <w:szCs w:val="30"/>
          <w:lang w:val="en-US" w:eastAsia="zh-CN"/>
        </w:rPr>
        <w:fldChar w:fldCharType="separate"/>
      </w:r>
      <w:r>
        <w:rPr>
          <w:rFonts w:hint="eastAsia" w:ascii="仿宋_GB2312" w:hAnsi="仿宋_GB2312" w:eastAsia="仿宋_GB2312" w:cs="仿宋_GB2312"/>
          <w:color w:val="000000"/>
          <w:sz w:val="30"/>
          <w:szCs w:val="30"/>
          <w:lang w:val="en-US" w:eastAsia="zh-CN"/>
        </w:rPr>
        <w:t>⑤</w:t>
      </w:r>
      <w:r>
        <w:rPr>
          <w:rFonts w:hint="eastAsia" w:ascii="仿宋_GB2312" w:hAnsi="仿宋_GB2312" w:eastAsia="仿宋_GB2312" w:cs="仿宋_GB2312"/>
          <w:color w:val="000000"/>
          <w:sz w:val="30"/>
          <w:szCs w:val="30"/>
          <w:lang w:val="en-US" w:eastAsia="zh-CN"/>
        </w:rPr>
        <w:fldChar w:fldCharType="end"/>
      </w:r>
      <w:r>
        <w:rPr>
          <w:rFonts w:hint="eastAsia" w:ascii="仿宋_GB2312" w:hAnsi="仿宋_GB2312" w:eastAsia="仿宋_GB2312" w:cs="仿宋_GB2312"/>
          <w:color w:val="000000"/>
          <w:sz w:val="30"/>
          <w:szCs w:val="30"/>
          <w:lang w:val="en-US" w:eastAsia="zh-CN"/>
        </w:rPr>
        <w:t>乙方相关经营活动由教育局进行指导和考核。</w:t>
      </w:r>
    </w:p>
    <w:p w14:paraId="25CD7B8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（10）根据配送情况，甲方对乙方配送学生奶的质量、成分、单位含量、病菌、添加剂含量进行的相关检测、检验检疫，费用由乙方承担。</w:t>
      </w:r>
    </w:p>
    <w:p w14:paraId="3DFE1F39">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（11）甲方对乙方的资质审核、环境评审检测费用，由乙方承担。</w:t>
      </w:r>
    </w:p>
    <w:p w14:paraId="17792FE0">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第十二条 紧急情况处理</w:t>
      </w:r>
    </w:p>
    <w:p w14:paraId="4477690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在学生饮用乙方提供的学生饮用奶后，当日出现头晕、呕吐、腹痛等不适时，应立即送到校医室或就近医院检查治疗，并立即通知乙方，由双方将学生奶样品送交卫生、质检部门进行检验。因乙方学生饮用奶发生的质量问题，由乙方承担检验费用。</w:t>
      </w:r>
    </w:p>
    <w:p w14:paraId="1641CF97">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第十三条 合同的变更和终止</w:t>
      </w:r>
    </w:p>
    <w:p w14:paraId="0DC6F6B8">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除《中华人民共和国政府采购法》第49条、第50条第二款规定的情形外，本合同一经签订，甲乙双方不得擅自变更、中止或终止合同。</w:t>
      </w:r>
    </w:p>
    <w:p w14:paraId="1BD78232">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第十四条 争议的解决</w:t>
      </w:r>
    </w:p>
    <w:p w14:paraId="65D3047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1、因货物的质量问题发生争议，由质量技术监督部门或其指定的质量鉴定机构进行质量鉴定。货物符合标准的，鉴定费由甲方承担；货物不符合质量标准的，鉴定费由乙方承担。</w:t>
      </w:r>
    </w:p>
    <w:p w14:paraId="5703770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2、因履行本合同引起的或与本合同有关的争议，甲、乙双方应首先通过友好协商解决，如果协商不成可向甲方所在地人民法院管辖。</w:t>
      </w:r>
    </w:p>
    <w:p w14:paraId="1E689D44">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第十五条 合同文件</w:t>
      </w:r>
    </w:p>
    <w:p w14:paraId="169CEC6E">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详细技术说明及其他有关合同项目的特定信息由合同附件予以说明，下列文件构成本合同的组成部分，应该认为是一个整体，彼此相互解释，相互补充。组成合同的多个文件的优先支配地位的次序如下：</w:t>
      </w:r>
    </w:p>
    <w:p w14:paraId="6BC7692C">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1、本合同书</w:t>
      </w:r>
    </w:p>
    <w:p w14:paraId="582F73A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2、中标通知书</w:t>
      </w:r>
    </w:p>
    <w:p w14:paraId="7FA5029D">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3、协议</w:t>
      </w:r>
    </w:p>
    <w:p w14:paraId="4ECA05FB">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4、招标文件(含澄清文件)</w:t>
      </w:r>
    </w:p>
    <w:p w14:paraId="44135264">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5、投标文件</w:t>
      </w:r>
    </w:p>
    <w:p w14:paraId="20A24F8D">
      <w:pPr>
        <w:keepNext w:val="0"/>
        <w:keepLines w:val="0"/>
        <w:pageBreakBefore w:val="0"/>
        <w:widowControl w:val="0"/>
        <w:kinsoku/>
        <w:wordWrap/>
        <w:overflowPunct/>
        <w:topLinePunct w:val="0"/>
        <w:autoSpaceDE/>
        <w:autoSpaceDN/>
        <w:bidi w:val="0"/>
        <w:adjustRightInd w:val="0"/>
        <w:snapToGrid w:val="0"/>
        <w:spacing w:line="550" w:lineRule="exact"/>
        <w:ind w:firstLine="602" w:firstLineChars="200"/>
        <w:jc w:val="left"/>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第十六条 合同生效及其他</w:t>
      </w:r>
    </w:p>
    <w:p w14:paraId="3EBCC6C1">
      <w:pPr>
        <w:keepNext w:val="0"/>
        <w:keepLines w:val="0"/>
        <w:pageBreakBefore w:val="0"/>
        <w:widowControl w:val="0"/>
        <w:kinsoku/>
        <w:wordWrap/>
        <w:overflowPunct/>
        <w:topLinePunct w:val="0"/>
        <w:autoSpaceDE/>
        <w:autoSpaceDN/>
        <w:bidi w:val="0"/>
        <w:adjustRightInd w:val="0"/>
        <w:snapToGrid w:val="0"/>
        <w:spacing w:line="55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1、如有未尽事宜，由双方依法订立补充合同。</w:t>
      </w:r>
    </w:p>
    <w:p w14:paraId="50CC7CE5">
      <w:pPr>
        <w:keepNext w:val="0"/>
        <w:keepLines w:val="0"/>
        <w:pageBreakBefore w:val="0"/>
        <w:widowControl w:val="0"/>
        <w:kinsoku/>
        <w:wordWrap/>
        <w:overflowPunct/>
        <w:topLinePunct w:val="0"/>
        <w:autoSpaceDE/>
        <w:autoSpaceDN/>
        <w:bidi w:val="0"/>
        <w:adjustRightInd w:val="0"/>
        <w:snapToGrid w:val="0"/>
        <w:spacing w:line="54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2、本合同自签订之日起生效。</w:t>
      </w:r>
    </w:p>
    <w:p w14:paraId="7DB5212B">
      <w:pPr>
        <w:keepNext w:val="0"/>
        <w:keepLines w:val="0"/>
        <w:pageBreakBefore w:val="0"/>
        <w:widowControl w:val="0"/>
        <w:kinsoku/>
        <w:wordWrap/>
        <w:overflowPunct/>
        <w:topLinePunct w:val="0"/>
        <w:autoSpaceDE/>
        <w:autoSpaceDN/>
        <w:bidi w:val="0"/>
        <w:adjustRightInd w:val="0"/>
        <w:snapToGrid w:val="0"/>
        <w:spacing w:line="54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3、因客观原因未进行下年度采购招标的情况下，为了不影响营养改善计划的正常实施，乙方在合同签订的供货配送时间段内没有发生任何事故，可由乙方按照合同所签标准延续配送。</w:t>
      </w:r>
    </w:p>
    <w:p w14:paraId="2C1EC08A">
      <w:pPr>
        <w:keepNext w:val="0"/>
        <w:keepLines w:val="0"/>
        <w:pageBreakBefore w:val="0"/>
        <w:widowControl w:val="0"/>
        <w:kinsoku/>
        <w:wordWrap/>
        <w:overflowPunct/>
        <w:topLinePunct w:val="0"/>
        <w:autoSpaceDE/>
        <w:autoSpaceDN/>
        <w:bidi w:val="0"/>
        <w:adjustRightInd w:val="0"/>
        <w:snapToGrid w:val="0"/>
        <w:spacing w:line="540" w:lineRule="exact"/>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4、本合同一式</w:t>
      </w:r>
      <w:r>
        <w:rPr>
          <w:rFonts w:hint="eastAsia" w:ascii="仿宋_GB2312" w:hAnsi="仿宋_GB2312" w:eastAsia="仿宋_GB2312" w:cs="仿宋_GB2312"/>
          <w:color w:val="000000"/>
          <w:sz w:val="30"/>
          <w:szCs w:val="30"/>
          <w:u w:val="single"/>
          <w:lang w:val="en-US" w:eastAsia="zh-CN"/>
        </w:rPr>
        <w:t xml:space="preserve"> 六 </w:t>
      </w:r>
      <w:r>
        <w:rPr>
          <w:rFonts w:hint="eastAsia" w:ascii="仿宋_GB2312" w:hAnsi="仿宋_GB2312" w:eastAsia="仿宋_GB2312" w:cs="仿宋_GB2312"/>
          <w:color w:val="000000"/>
          <w:sz w:val="30"/>
          <w:szCs w:val="30"/>
          <w:lang w:val="en-US" w:eastAsia="zh-CN"/>
        </w:rPr>
        <w:t>份，具有同等法律效力，甲乙双方各执</w:t>
      </w:r>
      <w:r>
        <w:rPr>
          <w:rFonts w:hint="eastAsia" w:ascii="仿宋_GB2312" w:hAnsi="仿宋_GB2312" w:eastAsia="仿宋_GB2312" w:cs="仿宋_GB2312"/>
          <w:color w:val="000000"/>
          <w:sz w:val="30"/>
          <w:szCs w:val="30"/>
          <w:u w:val="single"/>
          <w:lang w:val="en-US" w:eastAsia="zh-CN"/>
        </w:rPr>
        <w:t xml:space="preserve"> 两 </w:t>
      </w:r>
      <w:r>
        <w:rPr>
          <w:rFonts w:hint="eastAsia" w:ascii="仿宋_GB2312" w:hAnsi="仿宋_GB2312" w:eastAsia="仿宋_GB2312" w:cs="仿宋_GB2312"/>
          <w:color w:val="000000"/>
          <w:sz w:val="30"/>
          <w:szCs w:val="30"/>
          <w:lang w:val="en-US" w:eastAsia="zh-CN"/>
        </w:rPr>
        <w:t xml:space="preserve"> 份，采购中心</w:t>
      </w:r>
      <w:r>
        <w:rPr>
          <w:rFonts w:hint="eastAsia" w:ascii="仿宋_GB2312" w:hAnsi="仿宋_GB2312" w:eastAsia="仿宋_GB2312" w:cs="仿宋_GB2312"/>
          <w:color w:val="000000"/>
          <w:sz w:val="30"/>
          <w:szCs w:val="30"/>
          <w:u w:val="single"/>
          <w:lang w:val="en-US" w:eastAsia="zh-CN"/>
        </w:rPr>
        <w:t xml:space="preserve"> 一 </w:t>
      </w:r>
      <w:r>
        <w:rPr>
          <w:rFonts w:hint="eastAsia" w:ascii="仿宋_GB2312" w:hAnsi="仿宋_GB2312" w:eastAsia="仿宋_GB2312" w:cs="仿宋_GB2312"/>
          <w:color w:val="000000"/>
          <w:sz w:val="30"/>
          <w:szCs w:val="30"/>
          <w:lang w:val="en-US" w:eastAsia="zh-CN"/>
        </w:rPr>
        <w:t>份，采购管理股</w:t>
      </w:r>
      <w:r>
        <w:rPr>
          <w:rFonts w:hint="eastAsia" w:ascii="仿宋_GB2312" w:hAnsi="仿宋_GB2312" w:eastAsia="仿宋_GB2312" w:cs="仿宋_GB2312"/>
          <w:color w:val="000000"/>
          <w:sz w:val="30"/>
          <w:szCs w:val="30"/>
          <w:u w:val="single"/>
          <w:lang w:val="en-US" w:eastAsia="zh-CN"/>
        </w:rPr>
        <w:t xml:space="preserve"> 一 </w:t>
      </w:r>
      <w:r>
        <w:rPr>
          <w:rFonts w:hint="eastAsia" w:ascii="仿宋_GB2312" w:hAnsi="仿宋_GB2312" w:eastAsia="仿宋_GB2312" w:cs="仿宋_GB2312"/>
          <w:color w:val="000000"/>
          <w:sz w:val="30"/>
          <w:szCs w:val="30"/>
          <w:lang w:val="en-US" w:eastAsia="zh-CN"/>
        </w:rPr>
        <w:t>份。</w:t>
      </w:r>
    </w:p>
    <w:tbl>
      <w:tblPr>
        <w:tblStyle w:val="9"/>
        <w:tblpPr w:leftFromText="180" w:rightFromText="180" w:vertAnchor="text" w:horzAnchor="page" w:tblpX="1471" w:tblpY="582"/>
        <w:tblOverlap w:val="never"/>
        <w:tblW w:w="92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33"/>
        <w:gridCol w:w="2429"/>
        <w:gridCol w:w="1824"/>
        <w:gridCol w:w="3172"/>
      </w:tblGrid>
      <w:tr w14:paraId="55D7C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3" w:hRule="atLeast"/>
        </w:trPr>
        <w:tc>
          <w:tcPr>
            <w:tcW w:w="1833" w:type="dxa"/>
            <w:tcBorders>
              <w:tl2br w:val="nil"/>
              <w:tr2bl w:val="nil"/>
            </w:tcBorders>
            <w:vAlign w:val="center"/>
          </w:tcPr>
          <w:p w14:paraId="5600DC9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甲</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方：</w:t>
            </w:r>
          </w:p>
        </w:tc>
        <w:tc>
          <w:tcPr>
            <w:tcW w:w="2429" w:type="dxa"/>
            <w:tcBorders>
              <w:tl2br w:val="nil"/>
              <w:tr2bl w:val="nil"/>
            </w:tcBorders>
            <w:vAlign w:val="center"/>
          </w:tcPr>
          <w:p w14:paraId="0BE70E4D">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三原县教育局</w:t>
            </w:r>
          </w:p>
          <w:p w14:paraId="03FC005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 xml:space="preserve">（盖章） </w:t>
            </w:r>
          </w:p>
        </w:tc>
        <w:tc>
          <w:tcPr>
            <w:tcW w:w="1824" w:type="dxa"/>
            <w:tcBorders>
              <w:tl2br w:val="nil"/>
              <w:tr2bl w:val="nil"/>
            </w:tcBorders>
            <w:vAlign w:val="center"/>
          </w:tcPr>
          <w:p w14:paraId="18089C7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乙</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方：</w:t>
            </w:r>
          </w:p>
        </w:tc>
        <w:tc>
          <w:tcPr>
            <w:tcW w:w="3172" w:type="dxa"/>
            <w:tcBorders>
              <w:tl2br w:val="nil"/>
              <w:tr2bl w:val="nil"/>
            </w:tcBorders>
            <w:vAlign w:val="top"/>
          </w:tcPr>
          <w:p w14:paraId="6616F35E">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000000"/>
                <w:sz w:val="30"/>
                <w:szCs w:val="30"/>
                <w:vertAlign w:val="baseline"/>
              </w:rPr>
            </w:pPr>
          </w:p>
        </w:tc>
      </w:tr>
      <w:tr w14:paraId="7016A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3" w:hRule="atLeast"/>
        </w:trPr>
        <w:tc>
          <w:tcPr>
            <w:tcW w:w="1833" w:type="dxa"/>
            <w:tcBorders>
              <w:tl2br w:val="nil"/>
              <w:tr2bl w:val="nil"/>
            </w:tcBorders>
            <w:vAlign w:val="center"/>
          </w:tcPr>
          <w:p w14:paraId="2C821F7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法定代表人/授权代表：</w:t>
            </w:r>
          </w:p>
        </w:tc>
        <w:tc>
          <w:tcPr>
            <w:tcW w:w="2429" w:type="dxa"/>
            <w:tcBorders>
              <w:tl2br w:val="nil"/>
              <w:tr2bl w:val="nil"/>
            </w:tcBorders>
            <w:vAlign w:val="center"/>
          </w:tcPr>
          <w:p w14:paraId="78B48258">
            <w:pPr>
              <w:keepNext w:val="0"/>
              <w:keepLines w:val="0"/>
              <w:pageBreakBefore w:val="0"/>
              <w:widowControl w:val="0"/>
              <w:kinsoku/>
              <w:wordWrap/>
              <w:overflowPunct/>
              <w:topLinePunct w:val="0"/>
              <w:autoSpaceDE/>
              <w:autoSpaceDN/>
              <w:bidi w:val="0"/>
              <w:adjustRightInd w:val="0"/>
              <w:snapToGrid w:val="0"/>
              <w:spacing w:line="440" w:lineRule="exact"/>
              <w:jc w:val="both"/>
              <w:textAlignment w:val="auto"/>
              <w:rPr>
                <w:rFonts w:hint="eastAsia" w:ascii="仿宋_GB2312" w:hAnsi="仿宋_GB2312" w:eastAsia="仿宋_GB2312" w:cs="仿宋_GB2312"/>
                <w:color w:val="000000"/>
                <w:sz w:val="30"/>
                <w:szCs w:val="30"/>
                <w:vertAlign w:val="baseline"/>
              </w:rPr>
            </w:pPr>
          </w:p>
        </w:tc>
        <w:tc>
          <w:tcPr>
            <w:tcW w:w="1824" w:type="dxa"/>
            <w:tcBorders>
              <w:tl2br w:val="nil"/>
              <w:tr2bl w:val="nil"/>
            </w:tcBorders>
            <w:vAlign w:val="center"/>
          </w:tcPr>
          <w:p w14:paraId="2FD40B06">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法定代表人/授权代表：</w:t>
            </w:r>
          </w:p>
        </w:tc>
        <w:tc>
          <w:tcPr>
            <w:tcW w:w="3172" w:type="dxa"/>
            <w:tcBorders>
              <w:tl2br w:val="nil"/>
              <w:tr2bl w:val="nil"/>
            </w:tcBorders>
            <w:vAlign w:val="top"/>
          </w:tcPr>
          <w:p w14:paraId="224C8171">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_GB2312" w:hAnsi="仿宋_GB2312" w:eastAsia="仿宋_GB2312" w:cs="仿宋_GB2312"/>
                <w:color w:val="000000"/>
                <w:sz w:val="30"/>
                <w:szCs w:val="30"/>
                <w:vertAlign w:val="baseline"/>
              </w:rPr>
            </w:pPr>
          </w:p>
        </w:tc>
      </w:tr>
      <w:tr w14:paraId="30D23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1833" w:type="dxa"/>
            <w:tcBorders>
              <w:tl2br w:val="nil"/>
              <w:tr2bl w:val="nil"/>
            </w:tcBorders>
            <w:vAlign w:val="top"/>
          </w:tcPr>
          <w:p w14:paraId="5627DC9E">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地    址：</w:t>
            </w:r>
          </w:p>
        </w:tc>
        <w:tc>
          <w:tcPr>
            <w:tcW w:w="2429" w:type="dxa"/>
            <w:tcBorders>
              <w:tl2br w:val="nil"/>
              <w:tr2bl w:val="nil"/>
            </w:tcBorders>
            <w:vAlign w:val="top"/>
          </w:tcPr>
          <w:p w14:paraId="683F45C3">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三原县</w:t>
            </w:r>
            <w:r>
              <w:rPr>
                <w:rFonts w:hint="eastAsia" w:ascii="仿宋_GB2312" w:hAnsi="仿宋_GB2312" w:eastAsia="仿宋_GB2312" w:cs="仿宋_GB2312"/>
                <w:color w:val="000000"/>
                <w:sz w:val="30"/>
                <w:szCs w:val="30"/>
                <w:lang w:val="en-US" w:eastAsia="zh-CN"/>
              </w:rPr>
              <w:t>城关镇</w:t>
            </w:r>
            <w:r>
              <w:rPr>
                <w:rFonts w:hint="eastAsia" w:ascii="仿宋_GB2312" w:hAnsi="仿宋_GB2312" w:eastAsia="仿宋_GB2312" w:cs="仿宋_GB2312"/>
                <w:color w:val="000000"/>
                <w:sz w:val="30"/>
                <w:szCs w:val="30"/>
              </w:rPr>
              <w:t>秦桐街</w:t>
            </w:r>
          </w:p>
        </w:tc>
        <w:tc>
          <w:tcPr>
            <w:tcW w:w="1824" w:type="dxa"/>
            <w:tcBorders>
              <w:tl2br w:val="nil"/>
              <w:tr2bl w:val="nil"/>
            </w:tcBorders>
            <w:vAlign w:val="top"/>
          </w:tcPr>
          <w:p w14:paraId="151ED33E">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地    址：</w:t>
            </w:r>
          </w:p>
        </w:tc>
        <w:tc>
          <w:tcPr>
            <w:tcW w:w="3172" w:type="dxa"/>
            <w:tcBorders>
              <w:tl2br w:val="nil"/>
              <w:tr2bl w:val="nil"/>
            </w:tcBorders>
            <w:vAlign w:val="top"/>
          </w:tcPr>
          <w:p w14:paraId="31DD8AAB">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_GB2312" w:hAnsi="仿宋_GB2312" w:eastAsia="仿宋_GB2312" w:cs="仿宋_GB2312"/>
                <w:color w:val="000000"/>
                <w:sz w:val="30"/>
                <w:szCs w:val="30"/>
                <w:vertAlign w:val="baseline"/>
              </w:rPr>
            </w:pPr>
          </w:p>
        </w:tc>
      </w:tr>
      <w:tr w14:paraId="440F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1833" w:type="dxa"/>
            <w:tcBorders>
              <w:tl2br w:val="nil"/>
              <w:tr2bl w:val="nil"/>
            </w:tcBorders>
            <w:vAlign w:val="top"/>
          </w:tcPr>
          <w:p w14:paraId="2639EC46">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开户银行：</w:t>
            </w:r>
          </w:p>
        </w:tc>
        <w:tc>
          <w:tcPr>
            <w:tcW w:w="2429" w:type="dxa"/>
            <w:tcBorders>
              <w:tl2br w:val="nil"/>
              <w:tr2bl w:val="nil"/>
            </w:tcBorders>
            <w:vAlign w:val="top"/>
          </w:tcPr>
          <w:p w14:paraId="78BF2759">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_GB2312" w:hAnsi="仿宋_GB2312" w:eastAsia="仿宋_GB2312" w:cs="仿宋_GB2312"/>
                <w:color w:val="000000"/>
                <w:sz w:val="30"/>
                <w:szCs w:val="30"/>
                <w:vertAlign w:val="baseline"/>
              </w:rPr>
            </w:pPr>
          </w:p>
        </w:tc>
        <w:tc>
          <w:tcPr>
            <w:tcW w:w="1824" w:type="dxa"/>
            <w:tcBorders>
              <w:tl2br w:val="nil"/>
              <w:tr2bl w:val="nil"/>
            </w:tcBorders>
            <w:vAlign w:val="top"/>
          </w:tcPr>
          <w:p w14:paraId="40E4E808">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开户银行：</w:t>
            </w:r>
          </w:p>
        </w:tc>
        <w:tc>
          <w:tcPr>
            <w:tcW w:w="3172" w:type="dxa"/>
            <w:tcBorders>
              <w:tl2br w:val="nil"/>
              <w:tr2bl w:val="nil"/>
            </w:tcBorders>
            <w:vAlign w:val="top"/>
          </w:tcPr>
          <w:p w14:paraId="404BC1C5">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_GB2312" w:hAnsi="仿宋_GB2312" w:eastAsia="仿宋_GB2312" w:cs="仿宋_GB2312"/>
                <w:color w:val="000000"/>
                <w:sz w:val="30"/>
                <w:szCs w:val="30"/>
                <w:vertAlign w:val="baseline"/>
              </w:rPr>
            </w:pPr>
          </w:p>
        </w:tc>
      </w:tr>
      <w:tr w14:paraId="42BA5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1833" w:type="dxa"/>
            <w:tcBorders>
              <w:tl2br w:val="nil"/>
              <w:tr2bl w:val="nil"/>
            </w:tcBorders>
            <w:vAlign w:val="top"/>
          </w:tcPr>
          <w:p w14:paraId="43ECF6CA">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账    号：</w:t>
            </w:r>
          </w:p>
        </w:tc>
        <w:tc>
          <w:tcPr>
            <w:tcW w:w="2429" w:type="dxa"/>
            <w:tcBorders>
              <w:tl2br w:val="nil"/>
              <w:tr2bl w:val="nil"/>
            </w:tcBorders>
            <w:vAlign w:val="top"/>
          </w:tcPr>
          <w:p w14:paraId="4807A7D5">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_GB2312" w:hAnsi="仿宋_GB2312" w:eastAsia="仿宋_GB2312" w:cs="仿宋_GB2312"/>
                <w:color w:val="000000"/>
                <w:sz w:val="30"/>
                <w:szCs w:val="30"/>
                <w:vertAlign w:val="baseline"/>
              </w:rPr>
            </w:pPr>
          </w:p>
        </w:tc>
        <w:tc>
          <w:tcPr>
            <w:tcW w:w="1824" w:type="dxa"/>
            <w:tcBorders>
              <w:tl2br w:val="nil"/>
              <w:tr2bl w:val="nil"/>
            </w:tcBorders>
            <w:vAlign w:val="top"/>
          </w:tcPr>
          <w:p w14:paraId="33A03082">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账    号：</w:t>
            </w:r>
          </w:p>
        </w:tc>
        <w:tc>
          <w:tcPr>
            <w:tcW w:w="3172" w:type="dxa"/>
            <w:tcBorders>
              <w:tl2br w:val="nil"/>
              <w:tr2bl w:val="nil"/>
            </w:tcBorders>
            <w:vAlign w:val="top"/>
          </w:tcPr>
          <w:p w14:paraId="21327865">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_GB2312" w:hAnsi="仿宋_GB2312" w:eastAsia="仿宋_GB2312" w:cs="仿宋_GB2312"/>
                <w:color w:val="000000"/>
                <w:sz w:val="30"/>
                <w:szCs w:val="30"/>
                <w:vertAlign w:val="baseline"/>
              </w:rPr>
            </w:pPr>
          </w:p>
        </w:tc>
      </w:tr>
      <w:tr w14:paraId="72912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1833" w:type="dxa"/>
            <w:tcBorders>
              <w:tl2br w:val="nil"/>
              <w:tr2bl w:val="nil"/>
            </w:tcBorders>
            <w:vAlign w:val="top"/>
          </w:tcPr>
          <w:p w14:paraId="1197197E">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电    话：</w:t>
            </w:r>
          </w:p>
        </w:tc>
        <w:tc>
          <w:tcPr>
            <w:tcW w:w="2429" w:type="dxa"/>
            <w:tcBorders>
              <w:tl2br w:val="nil"/>
              <w:tr2bl w:val="nil"/>
            </w:tcBorders>
            <w:vAlign w:val="top"/>
          </w:tcPr>
          <w:p w14:paraId="45FAA050">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029-32282130</w:t>
            </w:r>
          </w:p>
        </w:tc>
        <w:tc>
          <w:tcPr>
            <w:tcW w:w="1824" w:type="dxa"/>
            <w:tcBorders>
              <w:tl2br w:val="nil"/>
              <w:tr2bl w:val="nil"/>
            </w:tcBorders>
            <w:vAlign w:val="top"/>
          </w:tcPr>
          <w:p w14:paraId="181DEF8B">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电    话：</w:t>
            </w:r>
          </w:p>
        </w:tc>
        <w:tc>
          <w:tcPr>
            <w:tcW w:w="3172" w:type="dxa"/>
            <w:tcBorders>
              <w:tl2br w:val="nil"/>
              <w:tr2bl w:val="nil"/>
            </w:tcBorders>
            <w:vAlign w:val="top"/>
          </w:tcPr>
          <w:p w14:paraId="646EDE8C">
            <w:pPr>
              <w:keepNext w:val="0"/>
              <w:keepLines w:val="0"/>
              <w:pageBreakBefore w:val="0"/>
              <w:widowControl w:val="0"/>
              <w:kinsoku/>
              <w:wordWrap/>
              <w:overflowPunct/>
              <w:topLinePunct w:val="0"/>
              <w:autoSpaceDE/>
              <w:autoSpaceDN/>
              <w:bidi w:val="0"/>
              <w:spacing w:line="480" w:lineRule="exact"/>
              <w:textAlignment w:val="auto"/>
              <w:rPr>
                <w:rFonts w:hint="eastAsia" w:ascii="仿宋_GB2312" w:hAnsi="仿宋_GB2312" w:eastAsia="仿宋_GB2312" w:cs="仿宋_GB2312"/>
                <w:color w:val="000000"/>
                <w:sz w:val="30"/>
                <w:szCs w:val="30"/>
                <w:vertAlign w:val="baseline"/>
              </w:rPr>
            </w:pPr>
          </w:p>
        </w:tc>
      </w:tr>
      <w:tr w14:paraId="1A95A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1833" w:type="dxa"/>
            <w:tcBorders>
              <w:tl2br w:val="nil"/>
              <w:tr2bl w:val="nil"/>
            </w:tcBorders>
            <w:vAlign w:val="top"/>
          </w:tcPr>
          <w:p w14:paraId="4B3D0CB7">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传    真：</w:t>
            </w:r>
          </w:p>
        </w:tc>
        <w:tc>
          <w:tcPr>
            <w:tcW w:w="2429" w:type="dxa"/>
            <w:tcBorders>
              <w:tl2br w:val="nil"/>
              <w:tr2bl w:val="nil"/>
            </w:tcBorders>
            <w:vAlign w:val="top"/>
          </w:tcPr>
          <w:p w14:paraId="2889B216">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029-32282130</w:t>
            </w:r>
          </w:p>
        </w:tc>
        <w:tc>
          <w:tcPr>
            <w:tcW w:w="1824" w:type="dxa"/>
            <w:tcBorders>
              <w:tl2br w:val="nil"/>
              <w:tr2bl w:val="nil"/>
            </w:tcBorders>
            <w:vAlign w:val="top"/>
          </w:tcPr>
          <w:p w14:paraId="15111D07">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传    真：</w:t>
            </w:r>
          </w:p>
        </w:tc>
        <w:tc>
          <w:tcPr>
            <w:tcW w:w="3172" w:type="dxa"/>
            <w:tcBorders>
              <w:tl2br w:val="nil"/>
              <w:tr2bl w:val="nil"/>
            </w:tcBorders>
            <w:vAlign w:val="top"/>
          </w:tcPr>
          <w:p w14:paraId="5823288D">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_GB2312" w:hAnsi="仿宋_GB2312" w:eastAsia="仿宋_GB2312" w:cs="仿宋_GB2312"/>
                <w:color w:val="000000"/>
                <w:sz w:val="30"/>
                <w:szCs w:val="30"/>
                <w:vertAlign w:val="baseline"/>
              </w:rPr>
            </w:pPr>
          </w:p>
        </w:tc>
      </w:tr>
      <w:tr w14:paraId="4F5BA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1833" w:type="dxa"/>
            <w:tcBorders>
              <w:tl2br w:val="nil"/>
              <w:tr2bl w:val="nil"/>
            </w:tcBorders>
            <w:vAlign w:val="top"/>
          </w:tcPr>
          <w:p w14:paraId="69E7F11A">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签约日期：</w:t>
            </w:r>
          </w:p>
        </w:tc>
        <w:tc>
          <w:tcPr>
            <w:tcW w:w="2429" w:type="dxa"/>
            <w:tcBorders>
              <w:tl2br w:val="nil"/>
              <w:tr2bl w:val="nil"/>
            </w:tcBorders>
            <w:vAlign w:val="top"/>
          </w:tcPr>
          <w:p w14:paraId="16FE145C">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 xml:space="preserve"> </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年   月</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 xml:space="preserve"> 日</w:t>
            </w:r>
          </w:p>
        </w:tc>
        <w:tc>
          <w:tcPr>
            <w:tcW w:w="1824" w:type="dxa"/>
            <w:tcBorders>
              <w:tl2br w:val="nil"/>
              <w:tr2bl w:val="nil"/>
            </w:tcBorders>
            <w:vAlign w:val="top"/>
          </w:tcPr>
          <w:p w14:paraId="7D06913C">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仿宋_GB2312" w:eastAsia="仿宋_GB2312" w:cs="仿宋_GB2312"/>
                <w:color w:val="000000"/>
                <w:kern w:val="2"/>
                <w:sz w:val="30"/>
                <w:szCs w:val="30"/>
                <w:vertAlign w:val="baseline"/>
                <w:lang w:val="en-US" w:eastAsia="zh-CN" w:bidi="ar-SA"/>
              </w:rPr>
            </w:pPr>
            <w:r>
              <w:rPr>
                <w:rFonts w:hint="eastAsia" w:ascii="仿宋_GB2312" w:hAnsi="仿宋_GB2312" w:eastAsia="仿宋_GB2312" w:cs="仿宋_GB2312"/>
                <w:color w:val="000000"/>
                <w:sz w:val="30"/>
                <w:szCs w:val="30"/>
              </w:rPr>
              <w:t>签约日期：</w:t>
            </w:r>
          </w:p>
        </w:tc>
        <w:tc>
          <w:tcPr>
            <w:tcW w:w="3172" w:type="dxa"/>
            <w:tcBorders>
              <w:tl2br w:val="nil"/>
              <w:tr2bl w:val="nil"/>
            </w:tcBorders>
            <w:vAlign w:val="top"/>
          </w:tcPr>
          <w:p w14:paraId="70DECA93">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_GB2312" w:hAnsi="仿宋_GB2312" w:eastAsia="仿宋_GB2312" w:cs="仿宋_GB2312"/>
                <w:color w:val="000000"/>
                <w:kern w:val="2"/>
                <w:sz w:val="30"/>
                <w:szCs w:val="30"/>
                <w:vertAlign w:val="baseline"/>
                <w:lang w:val="en-US" w:eastAsia="zh-CN" w:bidi="ar-SA"/>
              </w:rPr>
            </w:pPr>
            <w:r>
              <w:rPr>
                <w:rFonts w:hint="eastAsia" w:ascii="仿宋_GB2312" w:hAnsi="仿宋_GB2312" w:eastAsia="仿宋_GB2312" w:cs="仿宋_GB2312"/>
                <w:color w:val="000000"/>
                <w:sz w:val="30"/>
                <w:szCs w:val="30"/>
              </w:rPr>
              <w:t xml:space="preserve"> </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年   月</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 xml:space="preserve">  日</w:t>
            </w:r>
          </w:p>
        </w:tc>
      </w:tr>
    </w:tbl>
    <w:p w14:paraId="2A4AED7E">
      <w:pPr>
        <w:keepNext w:val="0"/>
        <w:keepLines w:val="0"/>
        <w:pageBreakBefore w:val="0"/>
        <w:widowControl w:val="0"/>
        <w:kinsoku/>
        <w:wordWrap/>
        <w:overflowPunct/>
        <w:topLinePunct w:val="0"/>
        <w:autoSpaceDE/>
        <w:autoSpaceDN/>
        <w:bidi w:val="0"/>
        <w:adjustRightInd w:val="0"/>
        <w:snapToGrid w:val="0"/>
        <w:spacing w:line="20" w:lineRule="exact"/>
        <w:jc w:val="left"/>
        <w:textAlignment w:val="auto"/>
        <w:rPr>
          <w:rFonts w:hint="eastAsia" w:ascii="仿宋_GB2312" w:hAnsi="仿宋_GB2312" w:eastAsia="仿宋_GB2312" w:cs="仿宋_GB2312"/>
          <w:color w:val="000000"/>
          <w:sz w:val="30"/>
          <w:szCs w:val="30"/>
        </w:rPr>
      </w:pPr>
    </w:p>
    <w:p w14:paraId="08A615EF">
      <w:r>
        <w:br w:type="page"/>
      </w:r>
    </w:p>
    <w:p w14:paraId="2B814A50">
      <w:pPr>
        <w:keepNext w:val="0"/>
        <w:keepLines w:val="0"/>
        <w:pageBreakBefore w:val="0"/>
        <w:widowControl w:val="0"/>
        <w:kinsoku/>
        <w:wordWrap/>
        <w:overflowPunct/>
        <w:topLinePunct w:val="0"/>
        <w:autoSpaceDE/>
        <w:autoSpaceDN/>
        <w:bidi w:val="0"/>
        <w:adjustRightInd w:val="0"/>
        <w:snapToGrid w:val="0"/>
        <w:spacing w:line="660" w:lineRule="exact"/>
        <w:jc w:val="both"/>
        <w:textAlignment w:val="auto"/>
        <w:rPr>
          <w:rFonts w:hint="default" w:ascii="方正小标宋简体" w:hAnsi="方正小标宋简体" w:eastAsia="方正小标宋简体" w:cs="方正小标宋简体"/>
          <w:color w:val="auto"/>
          <w:sz w:val="22"/>
          <w:szCs w:val="22"/>
          <w:lang w:val="en-US" w:eastAsia="zh-CN"/>
        </w:rPr>
      </w:pPr>
      <w:r>
        <w:rPr>
          <w:rFonts w:hint="eastAsia" w:ascii="方正小标宋简体" w:hAnsi="方正小标宋简体" w:eastAsia="方正小标宋简体" w:cs="方正小标宋简体"/>
          <w:color w:val="auto"/>
          <w:sz w:val="22"/>
          <w:szCs w:val="22"/>
          <w:lang w:val="en-US" w:eastAsia="zh-CN"/>
        </w:rPr>
        <w:t>（包9-包12合同模板）</w:t>
      </w:r>
    </w:p>
    <w:p w14:paraId="763D49C4">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382B568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4C875EB1">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625CCAF3">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32"/>
          <w:szCs w:val="32"/>
          <w:lang w:eastAsia="zh-CN"/>
        </w:rPr>
      </w:pPr>
      <w:r>
        <w:rPr>
          <w:rFonts w:hint="eastAsia" w:ascii="方正小标宋简体" w:hAnsi="方正小标宋简体" w:eastAsia="方正小标宋简体" w:cs="方正小标宋简体"/>
          <w:color w:val="auto"/>
          <w:sz w:val="44"/>
          <w:szCs w:val="44"/>
          <w:lang w:eastAsia="zh-CN"/>
        </w:rPr>
        <w:t>三原县2026年校园餐及农村义务教育学生营养改善计划政府采购</w:t>
      </w:r>
      <w:r>
        <w:rPr>
          <w:rFonts w:hint="eastAsia" w:ascii="方正小标宋简体" w:hAnsi="方正小标宋简体" w:eastAsia="方正小标宋简体" w:cs="方正小标宋简体"/>
          <w:color w:val="000000"/>
          <w:sz w:val="44"/>
          <w:szCs w:val="44"/>
        </w:rPr>
        <w:t>合同</w:t>
      </w:r>
    </w:p>
    <w:p w14:paraId="505A44C8">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30"/>
          <w:szCs w:val="30"/>
          <w:lang w:eastAsia="zh-CN"/>
        </w:rPr>
      </w:pPr>
      <w:r>
        <w:rPr>
          <w:rFonts w:hint="eastAsia" w:ascii="方正小标宋简体" w:hAnsi="方正小标宋简体" w:eastAsia="方正小标宋简体" w:cs="方正小标宋简体"/>
          <w:color w:val="000000"/>
          <w:sz w:val="30"/>
          <w:szCs w:val="30"/>
          <w:lang w:eastAsia="zh-CN"/>
        </w:rPr>
        <w:t>（</w:t>
      </w:r>
      <w:r>
        <w:rPr>
          <w:rFonts w:hint="eastAsia" w:ascii="方正小标宋简体" w:hAnsi="方正小标宋简体" w:eastAsia="方正小标宋简体" w:cs="方正小标宋简体"/>
          <w:color w:val="000000"/>
          <w:sz w:val="30"/>
          <w:szCs w:val="30"/>
        </w:rPr>
        <w:t>项目编号：</w:t>
      </w:r>
      <w:r>
        <w:rPr>
          <w:rFonts w:hint="eastAsia" w:ascii="方正小标宋简体" w:hAnsi="方正小标宋简体" w:eastAsia="方正小标宋简体" w:cs="方正小标宋简体"/>
          <w:color w:val="000000"/>
          <w:sz w:val="30"/>
          <w:szCs w:val="30"/>
          <w:lang w:val="en-US" w:eastAsia="zh-CN"/>
        </w:rPr>
        <w:t xml:space="preserve">      </w:t>
      </w:r>
      <w:r>
        <w:rPr>
          <w:rFonts w:hint="eastAsia" w:ascii="方正小标宋简体" w:hAnsi="方正小标宋简体" w:eastAsia="方正小标宋简体" w:cs="方正小标宋简体"/>
          <w:color w:val="000000"/>
          <w:sz w:val="30"/>
          <w:szCs w:val="30"/>
          <w:lang w:eastAsia="zh-CN"/>
        </w:rPr>
        <w:t>）</w:t>
      </w:r>
    </w:p>
    <w:p w14:paraId="2FDA2CB7">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5E5ECFA1">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67EA21D5">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11FED362">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0FDB2A5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36BD9B30">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7ACFA54C">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p>
    <w:p w14:paraId="593DCC4D">
      <w:pPr>
        <w:rPr>
          <w:rFonts w:hint="eastAsia"/>
        </w:rPr>
      </w:pPr>
    </w:p>
    <w:p w14:paraId="1E8D1054">
      <w:pPr>
        <w:keepNext w:val="0"/>
        <w:keepLines w:val="0"/>
        <w:pageBreakBefore w:val="0"/>
        <w:widowControl w:val="0"/>
        <w:kinsoku/>
        <w:wordWrap/>
        <w:overflowPunct/>
        <w:topLinePunct w:val="0"/>
        <w:autoSpaceDE/>
        <w:autoSpaceDN/>
        <w:bidi w:val="0"/>
        <w:adjustRightInd w:val="0"/>
        <w:snapToGrid w:val="0"/>
        <w:spacing w:line="640" w:lineRule="exact"/>
        <w:ind w:firstLine="2108" w:firstLineChars="700"/>
        <w:jc w:val="both"/>
        <w:textAlignment w:val="auto"/>
        <w:rPr>
          <w:rFonts w:hint="eastAsia" w:ascii="仿宋_GB2312" w:hAnsi="仿宋_GB2312" w:eastAsia="仿宋_GB2312" w:cs="仿宋_GB2312"/>
          <w:b/>
          <w:bCs/>
          <w:color w:val="000000"/>
          <w:sz w:val="30"/>
          <w:szCs w:val="30"/>
          <w:u w:val="single"/>
          <w:lang w:val="en-US" w:eastAsia="zh-CN"/>
        </w:rPr>
      </w:pPr>
      <w:r>
        <w:rPr>
          <w:rFonts w:hint="eastAsia" w:ascii="仿宋_GB2312" w:hAnsi="仿宋_GB2312" w:eastAsia="仿宋_GB2312" w:cs="仿宋_GB2312"/>
          <w:b/>
          <w:bCs/>
          <w:color w:val="000000"/>
          <w:sz w:val="30"/>
          <w:szCs w:val="30"/>
        </w:rPr>
        <w:t>甲方：</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b/>
          <w:bCs/>
          <w:color w:val="000000"/>
          <w:sz w:val="30"/>
          <w:szCs w:val="30"/>
          <w:u w:val="single"/>
        </w:rPr>
        <w:t>三原县教育局</w:t>
      </w:r>
      <w:r>
        <w:rPr>
          <w:rFonts w:hint="eastAsia" w:ascii="仿宋_GB2312" w:hAnsi="仿宋_GB2312" w:eastAsia="仿宋_GB2312" w:cs="仿宋_GB2312"/>
          <w:b/>
          <w:bCs/>
          <w:color w:val="000000"/>
          <w:sz w:val="30"/>
          <w:szCs w:val="30"/>
          <w:u w:val="single"/>
          <w:lang w:val="en-US" w:eastAsia="zh-CN"/>
        </w:rPr>
        <w:t xml:space="preserve">         </w:t>
      </w:r>
    </w:p>
    <w:p w14:paraId="68A894C9">
      <w:pPr>
        <w:keepNext w:val="0"/>
        <w:keepLines w:val="0"/>
        <w:pageBreakBefore w:val="0"/>
        <w:widowControl w:val="0"/>
        <w:kinsoku/>
        <w:wordWrap/>
        <w:overflowPunct/>
        <w:topLinePunct w:val="0"/>
        <w:autoSpaceDE/>
        <w:autoSpaceDN/>
        <w:bidi w:val="0"/>
        <w:adjustRightInd w:val="0"/>
        <w:snapToGrid w:val="0"/>
        <w:spacing w:line="640" w:lineRule="exact"/>
        <w:ind w:firstLine="2108" w:firstLineChars="700"/>
        <w:jc w:val="both"/>
        <w:textAlignment w:val="auto"/>
        <w:rPr>
          <w:rFonts w:hint="eastAsia" w:ascii="仿宋_GB2312" w:hAnsi="仿宋_GB2312" w:eastAsia="仿宋_GB2312" w:cs="仿宋_GB2312"/>
          <w:b/>
          <w:bCs/>
          <w:color w:val="000000"/>
          <w:sz w:val="30"/>
          <w:szCs w:val="30"/>
          <w:u w:val="single"/>
          <w:lang w:val="en-US" w:eastAsia="zh-CN"/>
        </w:rPr>
      </w:pPr>
      <w:r>
        <w:rPr>
          <w:rFonts w:hint="eastAsia" w:ascii="仿宋_GB2312" w:hAnsi="仿宋_GB2312" w:eastAsia="仿宋_GB2312" w:cs="仿宋_GB2312"/>
          <w:b/>
          <w:bCs/>
          <w:color w:val="000000"/>
          <w:sz w:val="30"/>
          <w:szCs w:val="30"/>
        </w:rPr>
        <w:t>乙方：</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b/>
          <w:bCs/>
          <w:color w:val="000000"/>
          <w:sz w:val="30"/>
          <w:szCs w:val="30"/>
          <w:u w:val="single"/>
          <w:lang w:val="en-US" w:eastAsia="zh-CN"/>
        </w:rPr>
        <w:t xml:space="preserve">                          </w:t>
      </w:r>
    </w:p>
    <w:p w14:paraId="35308E34">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仿宋_GB2312" w:hAnsi="仿宋_GB2312" w:eastAsia="仿宋_GB2312" w:cs="仿宋_GB2312"/>
          <w:color w:val="000000"/>
          <w:sz w:val="44"/>
          <w:szCs w:val="44"/>
        </w:rPr>
      </w:pPr>
    </w:p>
    <w:p w14:paraId="5F51B0EC">
      <w:pPr>
        <w:keepNext/>
        <w:widowControl w:val="0"/>
        <w:numPr>
          <w:ilvl w:val="0"/>
          <w:numId w:val="0"/>
        </w:numPr>
        <w:autoSpaceDE w:val="0"/>
        <w:autoSpaceDN w:val="0"/>
        <w:adjustRightInd w:val="0"/>
        <w:ind w:leftChars="0"/>
        <w:jc w:val="both"/>
        <w:outlineLvl w:val="3"/>
        <w:rPr>
          <w:rFonts w:hint="eastAsia" w:ascii="方正姚体" w:hAnsi="Times New Roman" w:eastAsia="方正姚体" w:cs="Times New Roman"/>
          <w:kern w:val="2"/>
          <w:sz w:val="36"/>
          <w:szCs w:val="32"/>
          <w:lang w:val="en-US" w:eastAsia="zh-CN" w:bidi="ar-SA"/>
        </w:rPr>
      </w:pPr>
    </w:p>
    <w:p w14:paraId="50D38A46">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default" w:ascii="方正小标宋简体" w:hAnsi="方正小标宋简体" w:eastAsia="方正小标宋简体" w:cs="方正小标宋简体"/>
          <w:color w:val="000000"/>
          <w:sz w:val="36"/>
          <w:szCs w:val="36"/>
          <w:lang w:val="en-US" w:eastAsia="zh-CN"/>
        </w:rPr>
      </w:pPr>
      <w:r>
        <w:rPr>
          <w:rFonts w:hint="eastAsia" w:ascii="方正小标宋简体" w:hAnsi="方正小标宋简体" w:eastAsia="方正小标宋简体" w:cs="方正小标宋简体"/>
          <w:color w:val="000000"/>
          <w:sz w:val="36"/>
          <w:szCs w:val="36"/>
          <w:lang w:val="en-US" w:eastAsia="zh-CN"/>
        </w:rPr>
        <w:t>2026年   月</w:t>
      </w:r>
    </w:p>
    <w:p w14:paraId="217A28E0">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sectPr>
          <w:pgSz w:w="11905" w:h="16838" w:orient="landscape"/>
          <w:pgMar w:top="1440" w:right="1803" w:bottom="1440" w:left="1803" w:header="851" w:footer="992" w:gutter="0"/>
          <w:pgBorders>
            <w:top w:val="none" w:sz="0" w:space="0"/>
            <w:left w:val="none" w:sz="0" w:space="0"/>
            <w:bottom w:val="none" w:sz="0" w:space="0"/>
            <w:right w:val="none" w:sz="0" w:space="0"/>
          </w:pgBorders>
          <w:pgNumType w:fmt="decimal"/>
          <w:cols w:space="0" w:num="1"/>
          <w:docGrid w:type="lines" w:linePitch="312" w:charSpace="0"/>
        </w:sectPr>
      </w:pPr>
    </w:p>
    <w:p w14:paraId="2D4CBD4B">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auto"/>
          <w:sz w:val="44"/>
          <w:szCs w:val="44"/>
          <w:lang w:eastAsia="zh-CN"/>
        </w:rPr>
        <w:t>三原县2026年校园餐及农村义务教育学生营养改善计划政府采购</w:t>
      </w:r>
      <w:r>
        <w:rPr>
          <w:rFonts w:hint="eastAsia" w:ascii="方正小标宋简体" w:hAnsi="方正小标宋简体" w:eastAsia="方正小标宋简体" w:cs="方正小标宋简体"/>
          <w:color w:val="000000"/>
          <w:sz w:val="44"/>
          <w:szCs w:val="44"/>
        </w:rPr>
        <w:t>合同</w:t>
      </w:r>
    </w:p>
    <w:p w14:paraId="49A903F4">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left"/>
        <w:textAlignment w:val="auto"/>
        <w:rPr>
          <w:rFonts w:hint="eastAsia" w:ascii="仿宋_GB2312" w:hAnsi="仿宋_GB2312" w:eastAsia="仿宋_GB2312" w:cs="仿宋_GB2312"/>
          <w:color w:val="000000"/>
          <w:sz w:val="30"/>
          <w:szCs w:val="30"/>
        </w:rPr>
      </w:pPr>
    </w:p>
    <w:p w14:paraId="3105E6B9">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b/>
          <w:bCs/>
          <w:color w:val="000000"/>
          <w:sz w:val="30"/>
          <w:szCs w:val="30"/>
          <w:u w:val="single"/>
          <w:lang w:val="en-US" w:eastAsia="zh-CN"/>
        </w:rPr>
      </w:pPr>
      <w:r>
        <w:rPr>
          <w:rFonts w:hint="eastAsia" w:ascii="仿宋_GB2312" w:hAnsi="仿宋_GB2312" w:eastAsia="仿宋_GB2312" w:cs="仿宋_GB2312"/>
          <w:color w:val="000000"/>
          <w:sz w:val="30"/>
          <w:szCs w:val="30"/>
        </w:rPr>
        <w:t>甲方：</w:t>
      </w:r>
      <w:r>
        <w:rPr>
          <w:rFonts w:hint="eastAsia" w:ascii="仿宋_GB2312" w:hAnsi="仿宋_GB2312" w:eastAsia="仿宋_GB2312" w:cs="仿宋_GB2312"/>
          <w:b/>
          <w:bCs/>
          <w:color w:val="000000"/>
          <w:sz w:val="30"/>
          <w:szCs w:val="30"/>
          <w:u w:val="single"/>
          <w:lang w:val="en-US" w:eastAsia="zh-CN"/>
        </w:rPr>
        <w:t xml:space="preserve">        三原县教育局         </w:t>
      </w:r>
    </w:p>
    <w:p w14:paraId="32B7D381">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default" w:ascii="仿宋_GB2312" w:hAnsi="仿宋_GB2312" w:eastAsia="仿宋_GB2312" w:cs="仿宋_GB2312"/>
          <w:b/>
          <w:bCs/>
          <w:color w:val="000000"/>
          <w:sz w:val="30"/>
          <w:szCs w:val="30"/>
          <w:u w:val="single"/>
          <w:lang w:val="en-US" w:eastAsia="zh-CN"/>
        </w:rPr>
      </w:pPr>
      <w:r>
        <w:rPr>
          <w:rFonts w:hint="eastAsia" w:ascii="仿宋_GB2312" w:hAnsi="仿宋_GB2312" w:eastAsia="仿宋_GB2312" w:cs="仿宋_GB2312"/>
          <w:color w:val="000000"/>
          <w:sz w:val="30"/>
          <w:szCs w:val="30"/>
        </w:rPr>
        <w:t>乙方：</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color w:val="000000"/>
          <w:sz w:val="30"/>
          <w:szCs w:val="30"/>
          <w:u w:val="single"/>
          <w:lang w:val="en-US" w:eastAsia="zh-CN"/>
        </w:rPr>
        <w:t xml:space="preserve"> </w:t>
      </w:r>
      <w:r>
        <w:rPr>
          <w:rFonts w:hint="eastAsia" w:ascii="仿宋_GB2312" w:hAnsi="仿宋_GB2312" w:eastAsia="仿宋_GB2312" w:cs="仿宋_GB2312"/>
          <w:b/>
          <w:bCs/>
          <w:color w:val="000000"/>
          <w:sz w:val="30"/>
          <w:szCs w:val="30"/>
          <w:u w:val="single"/>
          <w:lang w:val="en-US" w:eastAsia="zh-CN"/>
        </w:rPr>
        <w:t xml:space="preserve">                  </w:t>
      </w:r>
    </w:p>
    <w:p w14:paraId="3F5D449E">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根据《中华人民共和国政府采购法》及实施条例、《中华人民共和国</w:t>
      </w:r>
      <w:r>
        <w:rPr>
          <w:rFonts w:hint="eastAsia" w:ascii="仿宋_GB2312" w:hAnsi="仿宋_GB2312" w:eastAsia="仿宋_GB2312" w:cs="仿宋_GB2312"/>
          <w:color w:val="000000"/>
          <w:sz w:val="30"/>
          <w:szCs w:val="30"/>
          <w:lang w:val="en-US" w:eastAsia="zh-CN"/>
        </w:rPr>
        <w:t>民法典</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lang w:val="en-US" w:eastAsia="zh-CN"/>
        </w:rPr>
        <w:t>和甲方（采购项目：</w:t>
      </w:r>
      <w:r>
        <w:rPr>
          <w:rFonts w:hint="eastAsia" w:ascii="仿宋_GB2312" w:hAnsi="仿宋_GB2312" w:eastAsia="仿宋_GB2312" w:cs="仿宋_GB2312"/>
          <w:color w:val="000000"/>
          <w:sz w:val="30"/>
          <w:szCs w:val="30"/>
          <w:u w:val="single"/>
          <w:lang w:val="en-US" w:eastAsia="zh-CN"/>
        </w:rPr>
        <w:t>三原县2026年校园餐及农村义务教育学生营养改善计划政府采购</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sz w:val="30"/>
          <w:szCs w:val="30"/>
          <w:highlight w:val="none"/>
          <w:u w:val="none"/>
          <w:lang w:val="en-US" w:eastAsia="zh-CN"/>
        </w:rPr>
        <w:t>采购项目编号：</w:t>
      </w:r>
      <w:r>
        <w:rPr>
          <w:rFonts w:hint="eastAsia" w:ascii="仿宋_GB2312" w:hAnsi="仿宋_GB2312" w:eastAsia="仿宋_GB2312" w:cs="仿宋_GB2312"/>
          <w:b/>
          <w:bCs/>
          <w:color w:val="000000"/>
          <w:sz w:val="30"/>
          <w:szCs w:val="30"/>
          <w:u w:val="single"/>
          <w:lang w:val="en-US" w:eastAsia="zh-CN"/>
        </w:rPr>
        <w:t xml:space="preserve">      </w:t>
      </w:r>
      <w:r>
        <w:rPr>
          <w:rFonts w:hint="eastAsia" w:ascii="仿宋_GB2312" w:hAnsi="仿宋_GB2312" w:eastAsia="仿宋_GB2312" w:cs="仿宋_GB2312"/>
          <w:sz w:val="30"/>
          <w:szCs w:val="30"/>
          <w:highlight w:val="none"/>
          <w:u w:val="none"/>
          <w:lang w:val="en-US" w:eastAsia="zh-CN"/>
        </w:rPr>
        <w:t>）</w:t>
      </w:r>
      <w:r>
        <w:rPr>
          <w:rFonts w:hint="eastAsia" w:ascii="仿宋_GB2312" w:hAnsi="仿宋_GB2312" w:eastAsia="仿宋_GB2312" w:cs="仿宋_GB2312"/>
          <w:color w:val="000000"/>
          <w:sz w:val="30"/>
          <w:szCs w:val="30"/>
        </w:rPr>
        <w:t>的招标文件、投标文件等有关规定，甲、乙双方在平等自愿原则下签订本合同，并共同遵守如下条款：</w:t>
      </w:r>
    </w:p>
    <w:p w14:paraId="05805742">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left"/>
        <w:textAlignment w:val="auto"/>
        <w:rPr>
          <w:rFonts w:hint="eastAsia"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一、甲方采购的货物/服务内容</w:t>
      </w:r>
    </w:p>
    <w:p w14:paraId="01280A16">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000000"/>
          <w:sz w:val="30"/>
          <w:szCs w:val="30"/>
        </w:rPr>
        <w:t>乙方向甲方每周配送食品按照营养餐周配餐食谱配</w:t>
      </w:r>
      <w:r>
        <w:rPr>
          <w:rFonts w:hint="eastAsia" w:ascii="仿宋_GB2312" w:hAnsi="仿宋_GB2312" w:eastAsia="仿宋_GB2312" w:cs="仿宋_GB2312"/>
          <w:color w:val="auto"/>
          <w:sz w:val="30"/>
          <w:szCs w:val="30"/>
        </w:rPr>
        <w:t>送。</w:t>
      </w:r>
    </w:p>
    <w:p w14:paraId="7A335BB5">
      <w:pPr>
        <w:keepNext w:val="0"/>
        <w:keepLines w:val="0"/>
        <w:pageBreakBefore w:val="0"/>
        <w:widowControl w:val="0"/>
        <w:kinsoku/>
        <w:wordWrap/>
        <w:overflowPunct/>
        <w:topLinePunct w:val="0"/>
        <w:autoSpaceDE/>
        <w:autoSpaceDN/>
        <w:bidi w:val="0"/>
        <w:adjustRightInd/>
        <w:snapToGrid/>
        <w:spacing w:line="538" w:lineRule="exact"/>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二、 合同价款</w:t>
      </w:r>
    </w:p>
    <w:p w14:paraId="471E7F1D">
      <w:pPr>
        <w:keepNext w:val="0"/>
        <w:keepLines w:val="0"/>
        <w:pageBreakBefore w:val="0"/>
        <w:widowControl w:val="0"/>
        <w:kinsoku/>
        <w:wordWrap/>
        <w:overflowPunct/>
        <w:topLinePunct w:val="0"/>
        <w:autoSpaceDE/>
        <w:autoSpaceDN/>
        <w:bidi w:val="0"/>
        <w:adjustRightInd/>
        <w:snapToGrid/>
        <w:spacing w:line="538"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1、合同总价为人民币大写：</w:t>
      </w:r>
      <w:r>
        <w:rPr>
          <w:rFonts w:hint="eastAsia" w:ascii="仿宋_GB2312" w:hAnsi="仿宋_GB2312" w:eastAsia="仿宋_GB2312" w:cs="仿宋_GB2312"/>
          <w:sz w:val="30"/>
          <w:szCs w:val="30"/>
          <w:u w:val="single"/>
          <w:lang w:val="en-US" w:eastAsia="zh-CN"/>
        </w:rPr>
        <w:t xml:space="preserve">       元</w:t>
      </w:r>
      <w:r>
        <w:rPr>
          <w:rFonts w:hint="eastAsia" w:ascii="仿宋_GB2312" w:hAnsi="仿宋_GB2312" w:eastAsia="仿宋_GB2312" w:cs="仿宋_GB2312"/>
          <w:sz w:val="30"/>
          <w:szCs w:val="30"/>
          <w:lang w:val="en-US" w:eastAsia="zh-CN"/>
        </w:rPr>
        <w:t>。</w:t>
      </w:r>
    </w:p>
    <w:p w14:paraId="01F4E209">
      <w:pPr>
        <w:keepNext w:val="0"/>
        <w:keepLines w:val="0"/>
        <w:pageBreakBefore w:val="0"/>
        <w:widowControl w:val="0"/>
        <w:kinsoku/>
        <w:wordWrap/>
        <w:overflowPunct/>
        <w:topLinePunct w:val="0"/>
        <w:autoSpaceDE/>
        <w:autoSpaceDN/>
        <w:bidi w:val="0"/>
        <w:adjustRightInd/>
        <w:snapToGrid/>
        <w:spacing w:line="538"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2、本合同总价是乙方的合同价款，结算时按实际发生量，据实结算。</w:t>
      </w:r>
    </w:p>
    <w:p w14:paraId="65BA0446">
      <w:pPr>
        <w:keepNext w:val="0"/>
        <w:keepLines w:val="0"/>
        <w:pageBreakBefore w:val="0"/>
        <w:widowControl w:val="0"/>
        <w:kinsoku/>
        <w:wordWrap/>
        <w:overflowPunct/>
        <w:topLinePunct w:val="0"/>
        <w:autoSpaceDE/>
        <w:autoSpaceDN/>
        <w:bidi w:val="0"/>
        <w:adjustRightInd/>
        <w:snapToGrid/>
        <w:spacing w:line="538" w:lineRule="exact"/>
        <w:ind w:firstLine="602" w:firstLineChars="200"/>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三、合同结算</w:t>
      </w:r>
    </w:p>
    <w:p w14:paraId="512E657B">
      <w:pPr>
        <w:keepNext w:val="0"/>
        <w:keepLines w:val="0"/>
        <w:pageBreakBefore w:val="0"/>
        <w:widowControl w:val="0"/>
        <w:kinsoku/>
        <w:wordWrap/>
        <w:overflowPunct/>
        <w:topLinePunct w:val="0"/>
        <w:autoSpaceDE/>
        <w:autoSpaceDN/>
        <w:bidi w:val="0"/>
        <w:adjustRightInd/>
        <w:snapToGrid/>
        <w:spacing w:line="538"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1、货款结算方式为：每天按照每生每天</w:t>
      </w:r>
      <w:r>
        <w:rPr>
          <w:rFonts w:hint="eastAsia" w:ascii="仿宋_GB2312" w:hAnsi="仿宋_GB2312" w:eastAsia="仿宋_GB2312" w:cs="仿宋_GB2312"/>
          <w:sz w:val="30"/>
          <w:szCs w:val="30"/>
          <w:u w:val="single"/>
          <w:lang w:val="en-US" w:eastAsia="zh-CN"/>
        </w:rPr>
        <w:t xml:space="preserve">     元</w:t>
      </w:r>
      <w:r>
        <w:rPr>
          <w:rFonts w:hint="eastAsia" w:ascii="仿宋_GB2312" w:hAnsi="仿宋_GB2312" w:eastAsia="仿宋_GB2312" w:cs="仿宋_GB2312"/>
          <w:sz w:val="30"/>
          <w:szCs w:val="30"/>
          <w:lang w:val="en-US" w:eastAsia="zh-CN"/>
        </w:rPr>
        <w:t>的标准配备（食材费用）；运营费：</w:t>
      </w:r>
      <w:r>
        <w:rPr>
          <w:rFonts w:hint="eastAsia" w:ascii="仿宋_GB2312" w:hAnsi="仿宋_GB2312" w:eastAsia="仿宋_GB2312" w:cs="仿宋_GB2312"/>
          <w:sz w:val="30"/>
          <w:szCs w:val="30"/>
          <w:u w:val="single"/>
          <w:lang w:val="en-US" w:eastAsia="zh-CN"/>
        </w:rPr>
        <w:t xml:space="preserve">     元/份</w:t>
      </w:r>
      <w:r>
        <w:rPr>
          <w:rFonts w:hint="eastAsia" w:ascii="仿宋_GB2312" w:hAnsi="仿宋_GB2312" w:eastAsia="仿宋_GB2312" w:cs="仿宋_GB2312"/>
          <w:sz w:val="30"/>
          <w:szCs w:val="30"/>
          <w:lang w:val="en-US" w:eastAsia="zh-CN"/>
        </w:rPr>
        <w:t>（运营费包含加工费、税费、运输费、留样、包装费等费用），本费用不在此次预算金额范围内，由各学校单独列支。</w:t>
      </w:r>
    </w:p>
    <w:p w14:paraId="53F1A158">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因食材价格的变化，乙方食谱的设计，周内每日允许在    元上下偏差±0.2元，但每周须平均数值达到    元标准配备（以周计量）。学校负责人根据乙方提供食谱，结合当地市场食材调研价格，每日核算成本，据实结算。</w:t>
      </w:r>
    </w:p>
    <w:p w14:paraId="4FA524BB">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全年按照200天计算。具体供货天数和人数以实际为准，据实结算。如遇节假日按到校当天计算，原则上每两个月结算一次，资金结算严格按照专项资金管理办法相关程序办理。</w:t>
      </w:r>
    </w:p>
    <w:p w14:paraId="2BB08B47">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2、结算办法:实际供应天数×学生数×对应供应单价</w:t>
      </w:r>
    </w:p>
    <w:p w14:paraId="05ED0A7F">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3、乙方须向甲方出具合法有效的完税发票，甲方进行支付结算。</w:t>
      </w:r>
    </w:p>
    <w:p w14:paraId="64A95741">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4、结算方式：银行转账。</w:t>
      </w:r>
    </w:p>
    <w:p w14:paraId="765A547F">
      <w:pPr>
        <w:keepNext w:val="0"/>
        <w:keepLines w:val="0"/>
        <w:pageBreakBefore w:val="0"/>
        <w:widowControl w:val="0"/>
        <w:kinsoku/>
        <w:wordWrap/>
        <w:overflowPunct/>
        <w:topLinePunct w:val="0"/>
        <w:autoSpaceDE/>
        <w:autoSpaceDN/>
        <w:bidi w:val="0"/>
        <w:adjustRightInd/>
        <w:snapToGrid/>
        <w:spacing w:line="542"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四、交货条件</w:t>
      </w:r>
    </w:p>
    <w:p w14:paraId="43CF754B">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乙方在合同签订生效之日起，按甲方指定时间、地点交货。</w:t>
      </w:r>
    </w:p>
    <w:p w14:paraId="132EBB61">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1、供货期限（期限）：</w:t>
      </w:r>
      <w:r>
        <w:rPr>
          <w:rFonts w:hint="eastAsia" w:ascii="仿宋_GB2312" w:hAnsi="仿宋_GB2312" w:eastAsia="仿宋_GB2312" w:cs="仿宋_GB2312"/>
          <w:color w:val="000000"/>
          <w:sz w:val="30"/>
          <w:szCs w:val="30"/>
          <w:lang w:val="en-US" w:eastAsia="zh-CN"/>
        </w:rPr>
        <w:t xml:space="preserve">2026年  </w:t>
      </w:r>
      <w:r>
        <w:rPr>
          <w:rFonts w:hint="eastAsia" w:ascii="仿宋_GB2312" w:hAnsi="仿宋_GB2312" w:eastAsia="仿宋_GB2312" w:cs="仿宋_GB2312"/>
          <w:color w:val="000000"/>
          <w:sz w:val="30"/>
          <w:szCs w:val="30"/>
        </w:rPr>
        <w:t>月</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日至</w:t>
      </w:r>
      <w:r>
        <w:rPr>
          <w:rFonts w:hint="eastAsia" w:ascii="仿宋_GB2312" w:hAnsi="仿宋_GB2312" w:eastAsia="仿宋_GB2312" w:cs="仿宋_GB2312"/>
          <w:color w:val="000000"/>
          <w:sz w:val="30"/>
          <w:szCs w:val="30"/>
          <w:lang w:val="en-US" w:eastAsia="zh-CN"/>
        </w:rPr>
        <w:t>2026</w:t>
      </w:r>
      <w:r>
        <w:rPr>
          <w:rFonts w:hint="eastAsia" w:ascii="仿宋_GB2312" w:hAnsi="仿宋_GB2312" w:eastAsia="仿宋_GB2312" w:cs="仿宋_GB2312"/>
          <w:color w:val="000000"/>
          <w:sz w:val="30"/>
          <w:szCs w:val="30"/>
        </w:rPr>
        <w:t>年</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月</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日</w:t>
      </w:r>
      <w:r>
        <w:rPr>
          <w:rFonts w:hint="eastAsia" w:ascii="仿宋_GB2312" w:hAnsi="仿宋_GB2312" w:eastAsia="仿宋_GB2312" w:cs="仿宋_GB2312"/>
          <w:sz w:val="30"/>
          <w:szCs w:val="30"/>
        </w:rPr>
        <w:t>（以学生实际在校天数为准）</w:t>
      </w:r>
    </w:p>
    <w:p w14:paraId="7360F119">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2、交货地点：</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w:t>
      </w:r>
    </w:p>
    <w:p w14:paraId="2DEF9427">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3、中标供应商未征得</w:t>
      </w:r>
      <w:r>
        <w:rPr>
          <w:rFonts w:hint="eastAsia" w:ascii="仿宋_GB2312" w:hAnsi="仿宋_GB2312" w:eastAsia="仿宋_GB2312" w:cs="仿宋_GB2312"/>
          <w:sz w:val="30"/>
          <w:szCs w:val="30"/>
          <w:lang w:eastAsia="zh-CN"/>
        </w:rPr>
        <w:t>甲方</w:t>
      </w:r>
      <w:r>
        <w:rPr>
          <w:rFonts w:hint="eastAsia" w:ascii="仿宋_GB2312" w:hAnsi="仿宋_GB2312" w:eastAsia="仿宋_GB2312" w:cs="仿宋_GB2312"/>
          <w:sz w:val="30"/>
          <w:szCs w:val="30"/>
        </w:rPr>
        <w:t>同意和谅解而单方面延迟交货，将按违约终止合同。</w:t>
      </w:r>
    </w:p>
    <w:p w14:paraId="3C2E7AC5">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4、中标供应商遇到可能妨碍按时交付和提供服务的情况，应当及时以书面形式通知</w:t>
      </w:r>
      <w:r>
        <w:rPr>
          <w:rFonts w:hint="eastAsia" w:ascii="仿宋_GB2312" w:hAnsi="仿宋_GB2312" w:eastAsia="仿宋_GB2312" w:cs="仿宋_GB2312"/>
          <w:sz w:val="30"/>
          <w:szCs w:val="30"/>
          <w:lang w:eastAsia="zh-CN"/>
        </w:rPr>
        <w:t>甲方</w:t>
      </w:r>
      <w:r>
        <w:rPr>
          <w:rFonts w:hint="eastAsia" w:ascii="仿宋_GB2312" w:hAnsi="仿宋_GB2312" w:eastAsia="仿宋_GB2312" w:cs="仿宋_GB2312"/>
          <w:sz w:val="30"/>
          <w:szCs w:val="30"/>
        </w:rPr>
        <w:t>，说明原由、拖延的期限、采取的补救措施等，否则将按违约终止合同。</w:t>
      </w:r>
    </w:p>
    <w:p w14:paraId="4B4E89CB">
      <w:pPr>
        <w:keepNext w:val="0"/>
        <w:keepLines w:val="0"/>
        <w:pageBreakBefore w:val="0"/>
        <w:widowControl w:val="0"/>
        <w:kinsoku/>
        <w:wordWrap/>
        <w:overflowPunct/>
        <w:topLinePunct w:val="0"/>
        <w:autoSpaceDE/>
        <w:autoSpaceDN/>
        <w:bidi w:val="0"/>
        <w:adjustRightInd/>
        <w:snapToGrid/>
        <w:spacing w:line="542"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5、配送要求：春季每天必须在早上7:30分前送到各学校，秋季每天必须在早上8:00分前送到各学校，包括留样一份（费用由乙方承担），各种食品的留样量不得少于125克。食品烧熟至食用的间隔时间为</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小时，配送到校的食品中心温度为</w:t>
      </w:r>
      <w:r>
        <w:rPr>
          <w:rFonts w:hint="eastAsia" w:ascii="仿宋_GB2312" w:hAnsi="仿宋_GB2312" w:eastAsia="仿宋_GB2312" w:cs="仿宋_GB2312"/>
          <w:sz w:val="30"/>
          <w:szCs w:val="30"/>
          <w:lang w:val="en-US" w:eastAsia="zh-CN"/>
        </w:rPr>
        <w:t>60</w:t>
      </w:r>
      <w:r>
        <w:rPr>
          <w:rFonts w:hint="eastAsia" w:ascii="仿宋_GB2312" w:hAnsi="仿宋_GB2312" w:eastAsia="仿宋_GB2312" w:cs="仿宋_GB2312"/>
          <w:sz w:val="30"/>
          <w:szCs w:val="30"/>
        </w:rPr>
        <w:t>度以上。配送车辆及用具必须保证清洁卫生，车辆货箱内部安装摄像头，在运输过程中摄像头全程开启，并且视频需留存一周以上。</w:t>
      </w:r>
    </w:p>
    <w:p w14:paraId="2857B53E">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五、 质量保证</w:t>
      </w:r>
    </w:p>
    <w:p w14:paraId="78F72F67">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1、乙方须提供保质、保鲜、安全的合格产品，完全符合合同规定的质量、规格和重量等要求。熟食产品为符合国家规定食品质量安全标准的新鲜食品，产品包装须是符合国家规定标准的环保材料，并提供包装材料的检验报告。 </w:t>
      </w:r>
    </w:p>
    <w:p w14:paraId="36004F97">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2、因运输装卸过程中造成的损耗（例如包装严重变形、破损、食品污染、变异等）、发现的破损、变异食品必须无条件一对一更换，不得影响学生的食用。</w:t>
      </w:r>
    </w:p>
    <w:p w14:paraId="515E6C92">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3、质量标准按照最新颁布的国家标准、行业标准或生产厂家企业标准确定，上述标准不一致的，以严格标准为准。</w:t>
      </w:r>
    </w:p>
    <w:p w14:paraId="687B967C">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4、投标人应严格遵守《食品安全法》和《动物检疫法》等相关规定，必须供应本次招标指定的产品，并保证产品质量，一经发现供应以下食品，除全部退货外，将取消供货单位的供货资格，供货单位并承担由此造成的全部经济责任和法律责任： </w:t>
      </w:r>
    </w:p>
    <w:p w14:paraId="78A1B483">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(1)腐败变质、油脂酸败、霉变、生虫、污秽不洁、混有异物或者其他感官性状异常，对人体健康有害的； </w:t>
      </w:r>
    </w:p>
    <w:p w14:paraId="2D98C105">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(2)含有毒、有害物质或者被有害物质污染，对人体健康有害的； </w:t>
      </w:r>
    </w:p>
    <w:p w14:paraId="28804A36">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(3)含有致病性寄生虫、微生物或者微生物含量超过国家限定标准的； </w:t>
      </w:r>
    </w:p>
    <w:p w14:paraId="1EEA8B4D">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(4)掺假、掺杂、伪造，影响营养、卫生的； </w:t>
      </w:r>
    </w:p>
    <w:p w14:paraId="28FBBB7D">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(5)用非食品原料加工的，加入非食品用化学物质或者将非食品当作食品的；</w:t>
      </w:r>
    </w:p>
    <w:p w14:paraId="3A462A9D">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(6)超过保质期限的。 </w:t>
      </w:r>
    </w:p>
    <w:p w14:paraId="1953B042">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5、提供的学生纯牛奶符合《产品质量法》等法律法规的规定，且有中国学生饮用奶标识。</w:t>
      </w:r>
    </w:p>
    <w:p w14:paraId="2DAF3F73">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6、保证提供每批次供货学生纯牛奶的质量检验、检疫报告书和进货发票或其他有效票据。</w:t>
      </w:r>
    </w:p>
    <w:p w14:paraId="3DE8BD29">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7、保证提供每批次产品的质量检验、鸡蛋检疫报告书和进货发票或其他有效票据。</w:t>
      </w:r>
    </w:p>
    <w:p w14:paraId="728B313F">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8、鸡蛋应使用新鲜、蛋壳干净、完整，无破开无臭味或其他异味；其他产品应包装完好、没有霉变，无杂质、无污染。</w:t>
      </w:r>
    </w:p>
    <w:p w14:paraId="419AF79F">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9、炒菜应遵循减糖减油减盐的原则进行加工制做。</w:t>
      </w:r>
    </w:p>
    <w:p w14:paraId="49FDED69">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sz w:val="30"/>
          <w:szCs w:val="30"/>
        </w:rPr>
        <w:t>10、如因质量问题意外食用，并造成实际伤害及损失，将由</w:t>
      </w:r>
      <w:r>
        <w:rPr>
          <w:rFonts w:hint="eastAsia" w:ascii="仿宋_GB2312" w:hAnsi="仿宋_GB2312" w:eastAsia="仿宋_GB2312" w:cs="仿宋_GB2312"/>
          <w:sz w:val="30"/>
          <w:szCs w:val="30"/>
          <w:lang w:eastAsia="zh-CN"/>
        </w:rPr>
        <w:t>乙方</w:t>
      </w:r>
      <w:r>
        <w:rPr>
          <w:rFonts w:hint="eastAsia" w:ascii="仿宋_GB2312" w:hAnsi="仿宋_GB2312" w:eastAsia="仿宋_GB2312" w:cs="仿宋_GB2312"/>
          <w:sz w:val="30"/>
          <w:szCs w:val="30"/>
        </w:rPr>
        <w:t>承担全部责任，甲方有权到乙方生产、供货场地检查货物质</w:t>
      </w:r>
      <w:r>
        <w:rPr>
          <w:rFonts w:hint="eastAsia" w:ascii="仿宋_GB2312" w:hAnsi="仿宋_GB2312" w:eastAsia="仿宋_GB2312" w:cs="仿宋_GB2312"/>
          <w:color w:val="auto"/>
          <w:sz w:val="30"/>
          <w:szCs w:val="30"/>
        </w:rPr>
        <w:t>量和生产进度。</w:t>
      </w:r>
    </w:p>
    <w:p w14:paraId="4DAD0D1A">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11、因</w:t>
      </w:r>
      <w:r>
        <w:rPr>
          <w:rFonts w:hint="eastAsia" w:ascii="仿宋_GB2312" w:hAnsi="仿宋_GB2312" w:eastAsia="仿宋_GB2312" w:cs="仿宋_GB2312"/>
          <w:color w:val="auto"/>
          <w:sz w:val="30"/>
          <w:szCs w:val="30"/>
          <w:lang w:val="en-US" w:eastAsia="zh-CN"/>
        </w:rPr>
        <w:t>乙方原因导致的</w:t>
      </w:r>
      <w:r>
        <w:rPr>
          <w:rFonts w:hint="eastAsia" w:ascii="仿宋_GB2312" w:hAnsi="仿宋_GB2312" w:eastAsia="仿宋_GB2312" w:cs="仿宋_GB2312"/>
          <w:color w:val="auto"/>
          <w:sz w:val="30"/>
          <w:szCs w:val="30"/>
        </w:rPr>
        <w:t>餐品质量问题引起的一切责任事故，均由</w:t>
      </w:r>
      <w:r>
        <w:rPr>
          <w:rFonts w:hint="eastAsia" w:ascii="仿宋_GB2312" w:hAnsi="仿宋_GB2312" w:eastAsia="仿宋_GB2312" w:cs="仿宋_GB2312"/>
          <w:color w:val="auto"/>
          <w:sz w:val="30"/>
          <w:szCs w:val="30"/>
          <w:lang w:eastAsia="zh-CN"/>
        </w:rPr>
        <w:t>乙方</w:t>
      </w:r>
      <w:r>
        <w:rPr>
          <w:rFonts w:hint="eastAsia" w:ascii="仿宋_GB2312" w:hAnsi="仿宋_GB2312" w:eastAsia="仿宋_GB2312" w:cs="仿宋_GB2312"/>
          <w:color w:val="auto"/>
          <w:sz w:val="30"/>
          <w:szCs w:val="30"/>
        </w:rPr>
        <w:t>全权负责，</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和配送学校不承担任何责任。</w:t>
      </w:r>
    </w:p>
    <w:p w14:paraId="2A14FE25">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rPr>
        <w:t>12、合同期内如有严重违反合同并造成恶劣影响的；卫生检疫部门确认</w:t>
      </w:r>
      <w:r>
        <w:rPr>
          <w:rFonts w:hint="eastAsia" w:ascii="仿宋_GB2312" w:hAnsi="仿宋_GB2312" w:eastAsia="仿宋_GB2312" w:cs="仿宋_GB2312"/>
          <w:color w:val="auto"/>
          <w:sz w:val="30"/>
          <w:szCs w:val="30"/>
          <w:lang w:eastAsia="zh-CN"/>
        </w:rPr>
        <w:t>乙方</w:t>
      </w:r>
      <w:r>
        <w:rPr>
          <w:rFonts w:hint="eastAsia" w:ascii="仿宋_GB2312" w:hAnsi="仿宋_GB2312" w:eastAsia="仿宋_GB2312" w:cs="仿宋_GB2312"/>
          <w:color w:val="auto"/>
          <w:sz w:val="30"/>
          <w:szCs w:val="30"/>
        </w:rPr>
        <w:t>因送货质量问题造成食物中毒等</w:t>
      </w:r>
      <w:r>
        <w:rPr>
          <w:rFonts w:hint="eastAsia" w:ascii="仿宋_GB2312" w:hAnsi="仿宋_GB2312" w:eastAsia="仿宋_GB2312" w:cs="仿宋_GB2312"/>
          <w:sz w:val="30"/>
          <w:szCs w:val="30"/>
        </w:rPr>
        <w:t>后果的，</w:t>
      </w:r>
      <w:r>
        <w:rPr>
          <w:rFonts w:hint="eastAsia" w:ascii="仿宋_GB2312" w:hAnsi="仿宋_GB2312" w:eastAsia="仿宋_GB2312" w:cs="仿宋_GB2312"/>
          <w:sz w:val="30"/>
          <w:szCs w:val="30"/>
          <w:lang w:eastAsia="zh-CN"/>
        </w:rPr>
        <w:t>乙方</w:t>
      </w:r>
      <w:r>
        <w:rPr>
          <w:rFonts w:hint="eastAsia" w:ascii="仿宋_GB2312" w:hAnsi="仿宋_GB2312" w:eastAsia="仿宋_GB2312" w:cs="仿宋_GB2312"/>
          <w:sz w:val="30"/>
          <w:szCs w:val="30"/>
        </w:rPr>
        <w:t>应负全部经济和法律责任。</w:t>
      </w:r>
      <w:r>
        <w:rPr>
          <w:rFonts w:hint="eastAsia" w:ascii="仿宋_GB2312" w:hAnsi="仿宋_GB2312" w:eastAsia="仿宋_GB2312" w:cs="仿宋_GB2312"/>
          <w:sz w:val="30"/>
          <w:szCs w:val="30"/>
          <w:lang w:eastAsia="zh-CN"/>
        </w:rPr>
        <w:t>甲方</w:t>
      </w:r>
      <w:r>
        <w:rPr>
          <w:rFonts w:hint="eastAsia" w:ascii="仿宋_GB2312" w:hAnsi="仿宋_GB2312" w:eastAsia="仿宋_GB2312" w:cs="仿宋_GB2312"/>
          <w:sz w:val="30"/>
          <w:szCs w:val="30"/>
        </w:rPr>
        <w:t>视情节，有权终止合同。如</w:t>
      </w:r>
      <w:r>
        <w:rPr>
          <w:rFonts w:hint="eastAsia" w:ascii="仿宋_GB2312" w:hAnsi="仿宋_GB2312" w:eastAsia="仿宋_GB2312" w:cs="仿宋_GB2312"/>
          <w:sz w:val="30"/>
          <w:szCs w:val="30"/>
          <w:lang w:eastAsia="zh-CN"/>
        </w:rPr>
        <w:t>乙方</w:t>
      </w:r>
      <w:r>
        <w:rPr>
          <w:rFonts w:hint="eastAsia" w:ascii="仿宋_GB2312" w:hAnsi="仿宋_GB2312" w:eastAsia="仿宋_GB2312" w:cs="仿宋_GB2312"/>
          <w:sz w:val="30"/>
          <w:szCs w:val="30"/>
        </w:rPr>
        <w:t>被学校书面投诉三次及以上，</w:t>
      </w:r>
      <w:r>
        <w:rPr>
          <w:rFonts w:hint="eastAsia" w:ascii="仿宋_GB2312" w:hAnsi="仿宋_GB2312" w:eastAsia="仿宋_GB2312" w:cs="仿宋_GB2312"/>
          <w:sz w:val="30"/>
          <w:szCs w:val="30"/>
          <w:lang w:eastAsia="zh-CN"/>
        </w:rPr>
        <w:t>甲方</w:t>
      </w:r>
      <w:r>
        <w:rPr>
          <w:rFonts w:hint="eastAsia" w:ascii="仿宋_GB2312" w:hAnsi="仿宋_GB2312" w:eastAsia="仿宋_GB2312" w:cs="仿宋_GB2312"/>
          <w:sz w:val="30"/>
          <w:szCs w:val="30"/>
        </w:rPr>
        <w:t>有权取消</w:t>
      </w:r>
      <w:r>
        <w:rPr>
          <w:rFonts w:hint="eastAsia" w:ascii="仿宋_GB2312" w:hAnsi="仿宋_GB2312" w:eastAsia="仿宋_GB2312" w:cs="仿宋_GB2312"/>
          <w:sz w:val="30"/>
          <w:szCs w:val="30"/>
          <w:lang w:eastAsia="zh-CN"/>
        </w:rPr>
        <w:t>乙方</w:t>
      </w:r>
      <w:r>
        <w:rPr>
          <w:rFonts w:hint="eastAsia" w:ascii="仿宋_GB2312" w:hAnsi="仿宋_GB2312" w:eastAsia="仿宋_GB2312" w:cs="仿宋_GB2312"/>
          <w:sz w:val="30"/>
          <w:szCs w:val="30"/>
        </w:rPr>
        <w:t>资格。</w:t>
      </w:r>
    </w:p>
    <w:p w14:paraId="10B72ADB">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六、双方权利和义务</w:t>
      </w:r>
    </w:p>
    <w:p w14:paraId="221C390B">
      <w:pPr>
        <w:keepNext w:val="0"/>
        <w:keepLines w:val="0"/>
        <w:pageBreakBefore w:val="0"/>
        <w:widowControl w:val="0"/>
        <w:kinsoku/>
        <w:wordWrap/>
        <w:overflowPunct/>
        <w:topLinePunct w:val="0"/>
        <w:autoSpaceDE/>
        <w:autoSpaceDN/>
        <w:bidi w:val="0"/>
        <w:adjustRightInd/>
        <w:snapToGrid/>
        <w:spacing w:line="550"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（一）甲方权利与义务</w:t>
      </w:r>
    </w:p>
    <w:p w14:paraId="7838A44B">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1、按照《三原县教育局农村义务教育学生营养改善计划实施方案》规定，对供货不规范现象，由甲方提出整改期限，到期整改不到位的，甲方有权随时终止本合同，且无需向乙方支付因此造成的任何损失。</w:t>
      </w:r>
    </w:p>
    <w:p w14:paraId="0712244F">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2、甲方按本合同约定的时间和金额向乙方及时支付食品供应费用。</w:t>
      </w:r>
    </w:p>
    <w:p w14:paraId="2DF910E5">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sz w:val="30"/>
          <w:szCs w:val="30"/>
        </w:rPr>
        <w:t>3、甲方有权根据实际情况调整供应模式、范围、内容、享受营养改善计划的学生数，调整情况应提前5个工作日告知乙方</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color w:val="auto"/>
          <w:sz w:val="30"/>
          <w:szCs w:val="30"/>
          <w:lang w:val="en-US" w:eastAsia="zh-CN"/>
        </w:rPr>
        <w:t>否则因此造成的损失由甲方承担。</w:t>
      </w:r>
    </w:p>
    <w:p w14:paraId="66BDABDD">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4、对于向乙方提供食品的生产厂家、养殖户，甲方有权会同有关部门进行检查、监督和实地查看，</w:t>
      </w:r>
      <w:r>
        <w:rPr>
          <w:rFonts w:hint="eastAsia" w:ascii="仿宋_GB2312" w:hAnsi="仿宋_GB2312" w:eastAsia="仿宋_GB2312" w:cs="仿宋_GB2312"/>
          <w:color w:val="auto"/>
          <w:sz w:val="30"/>
          <w:szCs w:val="30"/>
          <w:lang w:val="en-US" w:eastAsia="zh-CN"/>
        </w:rPr>
        <w:t>发现有问题后，甲方有权要求乙方停止供货并有权终止合同</w:t>
      </w:r>
      <w:r>
        <w:rPr>
          <w:rFonts w:hint="eastAsia" w:ascii="仿宋_GB2312" w:hAnsi="仿宋_GB2312" w:eastAsia="仿宋_GB2312" w:cs="仿宋_GB2312"/>
          <w:color w:val="auto"/>
          <w:sz w:val="30"/>
          <w:szCs w:val="30"/>
        </w:rPr>
        <w:t>。</w:t>
      </w:r>
    </w:p>
    <w:p w14:paraId="17EC9505">
      <w:pPr>
        <w:keepNext w:val="0"/>
        <w:keepLines w:val="0"/>
        <w:pageBreakBefore w:val="0"/>
        <w:widowControl w:val="0"/>
        <w:kinsoku/>
        <w:wordWrap/>
        <w:overflowPunct/>
        <w:topLinePunct w:val="0"/>
        <w:autoSpaceDE/>
        <w:autoSpaceDN/>
        <w:bidi w:val="0"/>
        <w:adjustRightInd/>
        <w:snapToGrid/>
        <w:spacing w:line="540" w:lineRule="exact"/>
        <w:ind w:firstLine="602" w:firstLineChars="200"/>
        <w:textAlignment w:val="auto"/>
        <w:rPr>
          <w:rFonts w:hint="eastAsia"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（二）乙方权利与义务</w:t>
      </w:r>
    </w:p>
    <w:p w14:paraId="45D07BC1">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乙方供应的产品和营养师必须各种证件齐全，并将证件在教育局备案。乙方必须按照相关质量管理要求进行运作，若某些细节不能达到相关要求的，须取得教育局的书面认可，否则乙方应主动终止本合同，并向甲方提前5日以上提交终止申请，由此而造成的经济损失，由甲方</w:t>
      </w:r>
      <w:r>
        <w:rPr>
          <w:rFonts w:hint="eastAsia" w:ascii="仿宋_GB2312" w:hAnsi="仿宋_GB2312" w:eastAsia="仿宋_GB2312" w:cs="仿宋_GB2312"/>
          <w:color w:val="auto"/>
          <w:sz w:val="30"/>
          <w:szCs w:val="30"/>
          <w:lang w:val="en-US" w:eastAsia="zh-CN"/>
        </w:rPr>
        <w:t>与</w:t>
      </w:r>
      <w:r>
        <w:rPr>
          <w:rFonts w:hint="eastAsia" w:ascii="仿宋_GB2312" w:hAnsi="仿宋_GB2312" w:eastAsia="仿宋_GB2312" w:cs="仿宋_GB2312"/>
          <w:color w:val="auto"/>
          <w:sz w:val="30"/>
          <w:szCs w:val="30"/>
        </w:rPr>
        <w:t>乙方</w:t>
      </w:r>
      <w:r>
        <w:rPr>
          <w:rFonts w:hint="eastAsia" w:ascii="仿宋_GB2312" w:hAnsi="仿宋_GB2312" w:eastAsia="仿宋_GB2312" w:cs="仿宋_GB2312"/>
          <w:color w:val="auto"/>
          <w:sz w:val="30"/>
          <w:szCs w:val="30"/>
          <w:lang w:val="en-US" w:eastAsia="zh-CN"/>
        </w:rPr>
        <w:t>协商后在乙方</w:t>
      </w:r>
      <w:r>
        <w:rPr>
          <w:rFonts w:hint="eastAsia" w:ascii="仿宋_GB2312" w:hAnsi="仿宋_GB2312" w:eastAsia="仿宋_GB2312" w:cs="仿宋_GB2312"/>
          <w:color w:val="auto"/>
          <w:sz w:val="30"/>
          <w:szCs w:val="30"/>
        </w:rPr>
        <w:t>货款中直接扣除，货款不足的超出部分由乙方补缴。</w:t>
      </w:r>
    </w:p>
    <w:p w14:paraId="4C0509D1">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rPr>
        <w:t>2、所供食品价格应按照市场同期价格采供，食品价格必须</w:t>
      </w:r>
      <w:r>
        <w:rPr>
          <w:rFonts w:hint="eastAsia" w:ascii="仿宋_GB2312" w:hAnsi="仿宋_GB2312" w:eastAsia="仿宋_GB2312" w:cs="仿宋_GB2312"/>
          <w:sz w:val="30"/>
          <w:szCs w:val="30"/>
        </w:rPr>
        <w:t>低于市场同期正常零售价格。</w:t>
      </w:r>
    </w:p>
    <w:p w14:paraId="1F97722B">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3、配送的食品必须保质保量，新鲜，按先进先出原则，必须把食品安全放在第一位。</w:t>
      </w:r>
    </w:p>
    <w:p w14:paraId="16258308">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4、按承诺的供货时间及时供货，所供货物纯牛奶保质期不少于90天；其他熟食类货物必须为当日新鲜产品，熟食和热牛奶保质期为四小时，水果必须新鲜完好。</w:t>
      </w:r>
    </w:p>
    <w:p w14:paraId="03BFB626">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5、配送营养食品所需的交通、储藏等设备、用具，必须保持清洁、卫生，经常消毒，必须使用密封装载交通工具配送。运输过程中禁止二次转运。如发现一次给予警告，并要求整改，发现第二次</w:t>
      </w:r>
      <w:r>
        <w:rPr>
          <w:rFonts w:hint="eastAsia" w:ascii="仿宋_GB2312" w:hAnsi="仿宋_GB2312" w:eastAsia="仿宋_GB2312" w:cs="仿宋_GB2312"/>
          <w:sz w:val="30"/>
          <w:szCs w:val="30"/>
          <w:lang w:eastAsia="zh-CN"/>
        </w:rPr>
        <w:t>甲方</w:t>
      </w:r>
      <w:r>
        <w:rPr>
          <w:rFonts w:hint="eastAsia" w:ascii="仿宋_GB2312" w:hAnsi="仿宋_GB2312" w:eastAsia="仿宋_GB2312" w:cs="仿宋_GB2312"/>
          <w:sz w:val="30"/>
          <w:szCs w:val="30"/>
        </w:rPr>
        <w:t>有权取消其配送资格。</w:t>
      </w:r>
    </w:p>
    <w:p w14:paraId="3CBBFC02">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6、积极配合甲方做好食品安全方面的工作及其他工作。</w:t>
      </w:r>
    </w:p>
    <w:p w14:paraId="26C44170">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7、乙方保证对其出售的货物或其任何一部分没有侵犯第三方的专利权、版权、商标权或其他权利。如甲方在使用该货物时构成上述侵权的，则由乙方承担全部责任。</w:t>
      </w:r>
    </w:p>
    <w:p w14:paraId="6FFAD4E1">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乙方每批次向甲方配送所供产品的同时还需出具所供产品的合格证及检验报告，所有配送产品还须提供有资质的检测单位出具的半年内检验报告，同时提供每个批次生产厂家的自检证明，否则甲方将拒收配送产品。</w:t>
      </w:r>
    </w:p>
    <w:p w14:paraId="0FBEAD64">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9、乙方负责每天餐后包装材料的回收处理工作。</w:t>
      </w:r>
    </w:p>
    <w:p w14:paraId="4AE44874">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10、乙方应制定食品安全应急预案，产品配送应急预案等。</w:t>
      </w:r>
    </w:p>
    <w:p w14:paraId="12124482">
      <w:pPr>
        <w:keepNext w:val="0"/>
        <w:keepLines w:val="0"/>
        <w:pageBreakBefore w:val="0"/>
        <w:widowControl w:val="0"/>
        <w:kinsoku/>
        <w:wordWrap/>
        <w:overflowPunct/>
        <w:topLinePunct w:val="0"/>
        <w:autoSpaceDE/>
        <w:autoSpaceDN/>
        <w:bidi w:val="0"/>
        <w:adjustRightInd/>
        <w:snapToGrid/>
        <w:spacing w:line="544"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七、包装要求与运输方式  </w:t>
      </w:r>
    </w:p>
    <w:p w14:paraId="6CD51912">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1、除合同另有规定外，乙方提供的全部货物均应按标准保护措施进行包装，该包装应适应于远距离运输、防潮、防晒、防震、防腐蚀、防震动及防止其它损坏和防野蛮装卸，以确保货物安全运抵指定地点。</w:t>
      </w:r>
      <w:r>
        <w:rPr>
          <w:rFonts w:hint="eastAsia" w:ascii="仿宋_GB2312" w:hAnsi="仿宋_GB2312" w:eastAsia="仿宋_GB2312" w:cs="仿宋_GB2312"/>
          <w:sz w:val="30"/>
          <w:szCs w:val="30"/>
          <w:lang w:eastAsia="zh-CN"/>
        </w:rPr>
        <w:t>乙方</w:t>
      </w:r>
      <w:r>
        <w:rPr>
          <w:rFonts w:hint="eastAsia" w:ascii="仿宋_GB2312" w:hAnsi="仿宋_GB2312" w:eastAsia="仿宋_GB2312" w:cs="仿宋_GB2312"/>
          <w:sz w:val="30"/>
          <w:szCs w:val="30"/>
        </w:rPr>
        <w:t>应承担由于其包装或防护措施不妥而引起的货物变质、损坏和丢失等任何损失造成的责任或费用。</w:t>
      </w:r>
    </w:p>
    <w:p w14:paraId="0D609275">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2、每一包装单元应附详细的装箱单和质量合格证。主食、副食和流食的产品包装符合国家规定标准《食品安全国家标准 食品接触材料及制品通用安全要求》GB4806.1-2016和《食品安全国家标准 食品接触用塑料材料及制品》GB4806.7-2023的无毒、无菌、环保材料，独立塑封包装；并提供包装材料的第三方质检报告。</w:t>
      </w:r>
    </w:p>
    <w:p w14:paraId="00CCEB69">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3、货物（产品）运输方式：选择运输风险小、运费低、距离短的运输路线。</w:t>
      </w:r>
    </w:p>
    <w:p w14:paraId="40BA58E2">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sz w:val="30"/>
          <w:szCs w:val="30"/>
        </w:rPr>
        <w:t>4、乙方负责货物（产品）运输，货物运输的合理损耗及计</w:t>
      </w:r>
      <w:r>
        <w:rPr>
          <w:rFonts w:hint="eastAsia" w:ascii="仿宋_GB2312" w:hAnsi="仿宋_GB2312" w:eastAsia="仿宋_GB2312" w:cs="仿宋_GB2312"/>
          <w:color w:val="auto"/>
          <w:sz w:val="30"/>
          <w:szCs w:val="30"/>
        </w:rPr>
        <w:t>算方法乙方支付</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在合同有效期内</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不再承担任何其他费用，在配送过程中出现的</w:t>
      </w:r>
      <w:r>
        <w:rPr>
          <w:rFonts w:hint="eastAsia" w:ascii="仿宋_GB2312" w:hAnsi="仿宋_GB2312" w:eastAsia="仿宋_GB2312" w:cs="仿宋_GB2312"/>
          <w:color w:val="auto"/>
          <w:sz w:val="30"/>
          <w:szCs w:val="30"/>
          <w:lang w:val="en-US" w:eastAsia="zh-CN"/>
        </w:rPr>
        <w:t>因乙方原因导致的</w:t>
      </w:r>
      <w:r>
        <w:rPr>
          <w:rFonts w:hint="eastAsia" w:ascii="仿宋_GB2312" w:hAnsi="仿宋_GB2312" w:eastAsia="仿宋_GB2312" w:cs="仿宋_GB2312"/>
          <w:color w:val="auto"/>
          <w:sz w:val="30"/>
          <w:szCs w:val="30"/>
        </w:rPr>
        <w:t>一切人员伤亡、财产损失由</w:t>
      </w:r>
      <w:r>
        <w:rPr>
          <w:rFonts w:hint="eastAsia" w:ascii="仿宋_GB2312" w:hAnsi="仿宋_GB2312" w:eastAsia="仿宋_GB2312" w:cs="仿宋_GB2312"/>
          <w:color w:val="auto"/>
          <w:sz w:val="30"/>
          <w:szCs w:val="30"/>
          <w:lang w:eastAsia="zh-CN"/>
        </w:rPr>
        <w:t>乙方</w:t>
      </w:r>
      <w:r>
        <w:rPr>
          <w:rFonts w:hint="eastAsia" w:ascii="仿宋_GB2312" w:hAnsi="仿宋_GB2312" w:eastAsia="仿宋_GB2312" w:cs="仿宋_GB2312"/>
          <w:color w:val="auto"/>
          <w:sz w:val="30"/>
          <w:szCs w:val="30"/>
        </w:rPr>
        <w:t>负责，</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不承担任何责任；</w:t>
      </w:r>
    </w:p>
    <w:p w14:paraId="23203A42">
      <w:pPr>
        <w:keepNext w:val="0"/>
        <w:keepLines w:val="0"/>
        <w:pageBreakBefore w:val="0"/>
        <w:widowControl w:val="0"/>
        <w:kinsoku/>
        <w:wordWrap/>
        <w:overflowPunct/>
        <w:topLinePunct w:val="0"/>
        <w:autoSpaceDE/>
        <w:autoSpaceDN/>
        <w:bidi w:val="0"/>
        <w:adjustRightInd/>
        <w:snapToGrid/>
        <w:spacing w:line="544" w:lineRule="exact"/>
        <w:ind w:firstLine="602" w:firstLineChars="200"/>
        <w:textAlignment w:val="auto"/>
        <w:rPr>
          <w:rFonts w:hint="eastAsia"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八、货物验收</w:t>
      </w:r>
    </w:p>
    <w:p w14:paraId="36EF1C57">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1、产品验收由甲方组织，乙方配合，并符合下列要求：</w:t>
      </w:r>
    </w:p>
    <w:p w14:paraId="3AA774D1">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①每次配送量应包含留样1份，由使用单位和</w:t>
      </w:r>
      <w:r>
        <w:rPr>
          <w:rFonts w:hint="eastAsia" w:ascii="仿宋_GB2312" w:hAnsi="仿宋_GB2312" w:eastAsia="仿宋_GB2312" w:cs="仿宋_GB2312"/>
          <w:sz w:val="30"/>
          <w:szCs w:val="30"/>
          <w:lang w:eastAsia="zh-CN"/>
        </w:rPr>
        <w:t>乙方</w:t>
      </w:r>
      <w:r>
        <w:rPr>
          <w:rFonts w:hint="eastAsia" w:ascii="仿宋_GB2312" w:hAnsi="仿宋_GB2312" w:eastAsia="仿宋_GB2312" w:cs="仿宋_GB2312"/>
          <w:sz w:val="30"/>
          <w:szCs w:val="30"/>
        </w:rPr>
        <w:t>共同对所有食品的品种、规格、数量及质量、保质期等进行验收。</w:t>
      </w:r>
    </w:p>
    <w:p w14:paraId="74C60FBA">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②</w:t>
      </w:r>
      <w:r>
        <w:rPr>
          <w:rFonts w:hint="eastAsia" w:ascii="仿宋_GB2312" w:hAnsi="仿宋_GB2312" w:eastAsia="仿宋_GB2312" w:cs="仿宋_GB2312"/>
          <w:sz w:val="30"/>
          <w:szCs w:val="30"/>
          <w:lang w:eastAsia="zh-CN"/>
        </w:rPr>
        <w:t>乙方</w:t>
      </w:r>
      <w:r>
        <w:rPr>
          <w:rFonts w:hint="eastAsia" w:ascii="仿宋_GB2312" w:hAnsi="仿宋_GB2312" w:eastAsia="仿宋_GB2312" w:cs="仿宋_GB2312"/>
          <w:sz w:val="30"/>
          <w:szCs w:val="30"/>
        </w:rPr>
        <w:t>每次供货须向使用单位提供“供货清单”（供货清单一式三份，</w:t>
      </w:r>
      <w:r>
        <w:rPr>
          <w:rFonts w:hint="eastAsia" w:ascii="仿宋_GB2312" w:hAnsi="仿宋_GB2312" w:eastAsia="仿宋_GB2312" w:cs="仿宋_GB2312"/>
          <w:sz w:val="30"/>
          <w:szCs w:val="30"/>
          <w:lang w:eastAsia="zh-CN"/>
        </w:rPr>
        <w:t>甲方</w:t>
      </w:r>
      <w:r>
        <w:rPr>
          <w:rFonts w:hint="eastAsia" w:ascii="仿宋_GB2312" w:hAnsi="仿宋_GB2312" w:eastAsia="仿宋_GB2312" w:cs="仿宋_GB2312"/>
          <w:sz w:val="30"/>
          <w:szCs w:val="30"/>
        </w:rPr>
        <w:t>一份，成交单位一份，使用单位一份）；经验收合格后，由使用单位在“供货清单”上签字并盖单位公章。</w:t>
      </w:r>
    </w:p>
    <w:p w14:paraId="7EB4F5D0">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③若验收不合格，成交单位必须及时无条件退换，保证使用单位的正常使用，否则将终止其供货合同，并赔偿</w:t>
      </w:r>
      <w:r>
        <w:rPr>
          <w:rFonts w:hint="eastAsia" w:ascii="仿宋_GB2312" w:hAnsi="仿宋_GB2312" w:eastAsia="仿宋_GB2312" w:cs="仿宋_GB2312"/>
          <w:color w:val="auto"/>
          <w:sz w:val="30"/>
          <w:szCs w:val="30"/>
          <w:lang w:eastAsia="zh-CN"/>
        </w:rPr>
        <w:t>甲方</w:t>
      </w:r>
      <w:r>
        <w:rPr>
          <w:rFonts w:hint="eastAsia" w:ascii="仿宋_GB2312" w:hAnsi="仿宋_GB2312" w:eastAsia="仿宋_GB2312" w:cs="仿宋_GB2312"/>
          <w:color w:val="auto"/>
          <w:sz w:val="30"/>
          <w:szCs w:val="30"/>
        </w:rPr>
        <w:t>的损失</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货物经使用单位签收的即视为验收合同。</w:t>
      </w:r>
    </w:p>
    <w:p w14:paraId="1521ABCB">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2、货物验收依据：</w:t>
      </w:r>
    </w:p>
    <w:p w14:paraId="2CA5701B">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（1）招标文件；</w:t>
      </w:r>
    </w:p>
    <w:p w14:paraId="4634D272">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（2）投标文件；</w:t>
      </w:r>
    </w:p>
    <w:p w14:paraId="7AAC19B5">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（3）采购合同及补充协议；</w:t>
      </w:r>
    </w:p>
    <w:p w14:paraId="239F561C">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（4）产品合格的检测报告。</w:t>
      </w:r>
    </w:p>
    <w:p w14:paraId="2C001968">
      <w:pPr>
        <w:keepNext w:val="0"/>
        <w:keepLines w:val="0"/>
        <w:pageBreakBefore w:val="0"/>
        <w:widowControl w:val="0"/>
        <w:kinsoku/>
        <w:wordWrap/>
        <w:overflowPunct/>
        <w:topLinePunct w:val="0"/>
        <w:autoSpaceDE/>
        <w:autoSpaceDN/>
        <w:bidi w:val="0"/>
        <w:adjustRightInd/>
        <w:snapToGrid/>
        <w:spacing w:line="544"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九、售后服务</w:t>
      </w:r>
    </w:p>
    <w:p w14:paraId="76365709">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乙方应按照国家有关法律法规和“三包”规定以及招标文件要求和投标文件的“服务承诺”提供服务。</w:t>
      </w:r>
    </w:p>
    <w:p w14:paraId="4FFF45C3">
      <w:pPr>
        <w:keepNext w:val="0"/>
        <w:keepLines w:val="0"/>
        <w:pageBreakBefore w:val="0"/>
        <w:widowControl w:val="0"/>
        <w:kinsoku/>
        <w:wordWrap/>
        <w:overflowPunct/>
        <w:topLinePunct w:val="0"/>
        <w:autoSpaceDE/>
        <w:autoSpaceDN/>
        <w:bidi w:val="0"/>
        <w:adjustRightInd/>
        <w:snapToGrid/>
        <w:spacing w:line="544"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十、履约保证金</w:t>
      </w:r>
    </w:p>
    <w:p w14:paraId="7C3616A3">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乙方中标后，向县教育局缴纳</w:t>
      </w:r>
      <w:r>
        <w:rPr>
          <w:rFonts w:hint="eastAsia" w:ascii="仿宋_GB2312" w:hAnsi="仿宋_GB2312" w:eastAsia="仿宋_GB2312" w:cs="仿宋_GB2312"/>
          <w:color w:val="auto"/>
          <w:sz w:val="30"/>
          <w:szCs w:val="30"/>
          <w:u w:val="single"/>
          <w:lang w:val="en-US" w:eastAsia="zh-CN"/>
        </w:rPr>
        <w:t>50000.00</w:t>
      </w:r>
      <w:r>
        <w:rPr>
          <w:rFonts w:hint="eastAsia" w:ascii="仿宋_GB2312" w:hAnsi="仿宋_GB2312" w:eastAsia="仿宋_GB2312" w:cs="仿宋_GB2312"/>
          <w:color w:val="auto"/>
          <w:sz w:val="30"/>
          <w:szCs w:val="30"/>
        </w:rPr>
        <w:t>元履约保证金。合同期满后</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无违反合同条款行为的无息退还。若有违反合同条款行为的，按照合同约定在履约保证金中扣除应赔付的款额后，余款</w:t>
      </w:r>
      <w:r>
        <w:rPr>
          <w:rFonts w:hint="eastAsia" w:ascii="仿宋_GB2312" w:hAnsi="仿宋_GB2312" w:eastAsia="仿宋_GB2312" w:cs="仿宋_GB2312"/>
          <w:color w:val="auto"/>
          <w:sz w:val="30"/>
          <w:szCs w:val="30"/>
          <w:lang w:val="en-US" w:eastAsia="zh-CN"/>
        </w:rPr>
        <w:t>30个工作日内</w:t>
      </w:r>
      <w:r>
        <w:rPr>
          <w:rFonts w:hint="eastAsia" w:ascii="仿宋_GB2312" w:hAnsi="仿宋_GB2312" w:eastAsia="仿宋_GB2312" w:cs="仿宋_GB2312"/>
          <w:color w:val="auto"/>
          <w:sz w:val="30"/>
          <w:szCs w:val="30"/>
        </w:rPr>
        <w:t>无息退还。若有不足扣款的金额，由乙方补足。</w:t>
      </w:r>
    </w:p>
    <w:p w14:paraId="3DC77CE7">
      <w:pPr>
        <w:keepNext w:val="0"/>
        <w:keepLines w:val="0"/>
        <w:pageBreakBefore w:val="0"/>
        <w:widowControl w:val="0"/>
        <w:kinsoku/>
        <w:wordWrap/>
        <w:overflowPunct/>
        <w:topLinePunct w:val="0"/>
        <w:autoSpaceDE/>
        <w:autoSpaceDN/>
        <w:bidi w:val="0"/>
        <w:adjustRightInd/>
        <w:snapToGrid/>
        <w:spacing w:line="548"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十一、违约责任</w:t>
      </w:r>
    </w:p>
    <w:p w14:paraId="2D2D7937">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1、甲方违约责任</w:t>
      </w:r>
    </w:p>
    <w:p w14:paraId="5042EB93">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（1）甲方无正当理由拒收货物的，甲方</w:t>
      </w:r>
      <w:r>
        <w:rPr>
          <w:rFonts w:hint="eastAsia" w:ascii="仿宋_GB2312" w:hAnsi="仿宋_GB2312" w:eastAsia="仿宋_GB2312" w:cs="仿宋_GB2312"/>
          <w:sz w:val="30"/>
          <w:szCs w:val="30"/>
          <w:lang w:val="en-US" w:eastAsia="zh-CN"/>
        </w:rPr>
        <w:t>仍应支付全部货款，且</w:t>
      </w:r>
      <w:r>
        <w:rPr>
          <w:rFonts w:hint="eastAsia" w:ascii="仿宋_GB2312" w:hAnsi="仿宋_GB2312" w:eastAsia="仿宋_GB2312" w:cs="仿宋_GB2312"/>
          <w:sz w:val="30"/>
          <w:szCs w:val="30"/>
        </w:rPr>
        <w:t>应偿付合同总价</w:t>
      </w:r>
      <w:r>
        <w:rPr>
          <w:rFonts w:hint="eastAsia" w:ascii="仿宋_GB2312" w:hAnsi="仿宋_GB2312" w:eastAsia="仿宋_GB2312" w:cs="仿宋_GB2312"/>
          <w:sz w:val="30"/>
          <w:szCs w:val="30"/>
          <w:u w:val="single"/>
        </w:rPr>
        <w:t xml:space="preserve"> 3 %</w:t>
      </w:r>
      <w:r>
        <w:rPr>
          <w:rFonts w:hint="eastAsia" w:ascii="仿宋_GB2312" w:hAnsi="仿宋_GB2312" w:eastAsia="仿宋_GB2312" w:cs="仿宋_GB2312"/>
          <w:sz w:val="30"/>
          <w:szCs w:val="30"/>
        </w:rPr>
        <w:t>的违约金；</w:t>
      </w:r>
    </w:p>
    <w:p w14:paraId="128CBA2A">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（2）甲方逾期支付货款的，除应及时付足货款外，应向乙方每天支付欠款总额</w:t>
      </w:r>
      <w:r>
        <w:rPr>
          <w:rFonts w:hint="eastAsia" w:ascii="仿宋_GB2312" w:hAnsi="仿宋_GB2312" w:eastAsia="仿宋_GB2312" w:cs="仿宋_GB2312"/>
          <w:sz w:val="30"/>
          <w:szCs w:val="30"/>
          <w:u w:val="single"/>
        </w:rPr>
        <w:t xml:space="preserve">  3 ‰</w:t>
      </w:r>
      <w:r>
        <w:rPr>
          <w:rFonts w:hint="eastAsia" w:ascii="仿宋_GB2312" w:hAnsi="仿宋_GB2312" w:eastAsia="仿宋_GB2312" w:cs="仿宋_GB2312"/>
          <w:sz w:val="30"/>
          <w:szCs w:val="30"/>
        </w:rPr>
        <w:t>的滞纳金；</w:t>
      </w:r>
      <w:r>
        <w:rPr>
          <w:rFonts w:hint="eastAsia" w:ascii="仿宋_GB2312" w:hAnsi="仿宋_GB2312" w:eastAsia="仿宋_GB2312" w:cs="仿宋_GB2312"/>
          <w:sz w:val="30"/>
          <w:szCs w:val="30"/>
          <w:lang w:val="en-US" w:eastAsia="zh-CN"/>
        </w:rPr>
        <w:t>否乙方随时终止本合同且无需向甲方支出因此造成的任何损失，</w:t>
      </w:r>
      <w:r>
        <w:rPr>
          <w:rFonts w:hint="eastAsia" w:ascii="仿宋_GB2312" w:hAnsi="仿宋_GB2312" w:eastAsia="仿宋_GB2312" w:cs="仿宋_GB2312"/>
          <w:sz w:val="30"/>
          <w:szCs w:val="30"/>
        </w:rPr>
        <w:t>但累计滞纳金总额不超过欠款总额的</w:t>
      </w:r>
      <w:r>
        <w:rPr>
          <w:rFonts w:hint="eastAsia" w:ascii="仿宋_GB2312" w:hAnsi="仿宋_GB2312" w:eastAsia="仿宋_GB2312" w:cs="仿宋_GB2312"/>
          <w:sz w:val="30"/>
          <w:szCs w:val="30"/>
          <w:u w:val="single"/>
        </w:rPr>
        <w:t xml:space="preserve"> 5 %</w:t>
      </w:r>
      <w:r>
        <w:rPr>
          <w:rFonts w:hint="eastAsia" w:ascii="仿宋_GB2312" w:hAnsi="仿宋_GB2312" w:eastAsia="仿宋_GB2312" w:cs="仿宋_GB2312"/>
          <w:sz w:val="30"/>
          <w:szCs w:val="30"/>
        </w:rPr>
        <w:t>。</w:t>
      </w:r>
    </w:p>
    <w:p w14:paraId="13873C11">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甲方偿付的违约金不足以弥补乙方损失的，还应按乙方损失尚未弥补的部分，支付赔偿金给乙方。</w:t>
      </w:r>
    </w:p>
    <w:p w14:paraId="1F68354E">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2、乙方违约责任</w:t>
      </w:r>
    </w:p>
    <w:p w14:paraId="7870CAC7">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（1）如乙方不能交付货物，</w:t>
      </w:r>
      <w:r>
        <w:rPr>
          <w:rFonts w:hint="eastAsia" w:ascii="仿宋_GB2312" w:hAnsi="仿宋_GB2312" w:eastAsia="仿宋_GB2312" w:cs="仿宋_GB2312"/>
          <w:sz w:val="30"/>
          <w:szCs w:val="30"/>
          <w:lang w:val="en-US" w:eastAsia="zh-CN"/>
        </w:rPr>
        <w:t>每逾期一日乙</w:t>
      </w:r>
      <w:r>
        <w:rPr>
          <w:rFonts w:hint="eastAsia" w:ascii="仿宋_GB2312" w:hAnsi="仿宋_GB2312" w:eastAsia="仿宋_GB2312" w:cs="仿宋_GB2312"/>
          <w:sz w:val="30"/>
          <w:szCs w:val="30"/>
        </w:rPr>
        <w:t>方应向甲方支付合同总价</w:t>
      </w:r>
      <w:r>
        <w:rPr>
          <w:rFonts w:hint="eastAsia" w:ascii="仿宋_GB2312" w:hAnsi="仿宋_GB2312" w:eastAsia="仿宋_GB2312" w:cs="仿宋_GB2312"/>
          <w:sz w:val="30"/>
          <w:szCs w:val="30"/>
          <w:u w:val="single"/>
        </w:rPr>
        <w:t xml:space="preserve"> 3 ％</w:t>
      </w:r>
      <w:r>
        <w:rPr>
          <w:rFonts w:hint="eastAsia" w:ascii="仿宋_GB2312" w:hAnsi="仿宋_GB2312" w:eastAsia="仿宋_GB2312" w:cs="仿宋_GB2312"/>
          <w:sz w:val="30"/>
          <w:szCs w:val="30"/>
        </w:rPr>
        <w:t>的违约金；</w:t>
      </w:r>
    </w:p>
    <w:p w14:paraId="771ECCBE">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（2）乙方逾期交付货物的，每逾期1天，乙方向甲方偿付逾期交货部分货款总额的</w:t>
      </w:r>
      <w:r>
        <w:rPr>
          <w:rFonts w:hint="eastAsia" w:ascii="仿宋_GB2312" w:hAnsi="仿宋_GB2312" w:eastAsia="仿宋_GB2312" w:cs="仿宋_GB2312"/>
          <w:sz w:val="30"/>
          <w:szCs w:val="30"/>
          <w:u w:val="single"/>
        </w:rPr>
        <w:t xml:space="preserve"> 5 ‰</w:t>
      </w:r>
      <w:r>
        <w:rPr>
          <w:rFonts w:hint="eastAsia" w:ascii="仿宋_GB2312" w:hAnsi="仿宋_GB2312" w:eastAsia="仿宋_GB2312" w:cs="仿宋_GB2312"/>
          <w:sz w:val="30"/>
          <w:szCs w:val="30"/>
        </w:rPr>
        <w:t>滞纳金。如乙方逾期交货达</w:t>
      </w:r>
      <w:r>
        <w:rPr>
          <w:rFonts w:hint="eastAsia" w:ascii="仿宋_GB2312" w:hAnsi="仿宋_GB2312" w:eastAsia="仿宋_GB2312" w:cs="仿宋_GB2312"/>
          <w:sz w:val="30"/>
          <w:szCs w:val="30"/>
          <w:u w:val="single"/>
          <w:lang w:val="en-US" w:eastAsia="zh-CN"/>
        </w:rPr>
        <w:t>5</w:t>
      </w:r>
      <w:r>
        <w:rPr>
          <w:rFonts w:hint="eastAsia" w:ascii="仿宋_GB2312" w:hAnsi="仿宋_GB2312" w:eastAsia="仿宋_GB2312" w:cs="仿宋_GB2312"/>
          <w:sz w:val="30"/>
          <w:szCs w:val="30"/>
        </w:rPr>
        <w:t>天，甲方有权解除合同，解除合同的通知自到达乙方时生效；</w:t>
      </w:r>
    </w:p>
    <w:p w14:paraId="13EAE927">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（3）乙方所交付的货物品种、型号、规格不符合合同规定的，甲方</w:t>
      </w:r>
      <w:r>
        <w:rPr>
          <w:rFonts w:hint="eastAsia" w:ascii="仿宋_GB2312" w:hAnsi="仿宋_GB2312" w:eastAsia="仿宋_GB2312" w:cs="仿宋_GB2312"/>
          <w:sz w:val="30"/>
          <w:szCs w:val="30"/>
          <w:lang w:val="en-US" w:eastAsia="zh-CN"/>
        </w:rPr>
        <w:t>使用单位</w:t>
      </w:r>
      <w:r>
        <w:rPr>
          <w:rFonts w:hint="eastAsia" w:ascii="仿宋_GB2312" w:hAnsi="仿宋_GB2312" w:eastAsia="仿宋_GB2312" w:cs="仿宋_GB2312"/>
          <w:sz w:val="30"/>
          <w:szCs w:val="30"/>
        </w:rPr>
        <w:t>有权拒收。甲方</w:t>
      </w:r>
      <w:r>
        <w:rPr>
          <w:rFonts w:hint="eastAsia" w:ascii="仿宋_GB2312" w:hAnsi="仿宋_GB2312" w:eastAsia="仿宋_GB2312" w:cs="仿宋_GB2312"/>
          <w:sz w:val="30"/>
          <w:szCs w:val="30"/>
          <w:lang w:val="en-US" w:eastAsia="zh-CN"/>
        </w:rPr>
        <w:t>使用单位</w:t>
      </w:r>
      <w:r>
        <w:rPr>
          <w:rFonts w:hint="eastAsia" w:ascii="仿宋_GB2312" w:hAnsi="仿宋_GB2312" w:eastAsia="仿宋_GB2312" w:cs="仿宋_GB2312"/>
          <w:sz w:val="30"/>
          <w:szCs w:val="30"/>
        </w:rPr>
        <w:t xml:space="preserve">拒收的，乙方应向甲方支付货款总额 </w:t>
      </w:r>
      <w:r>
        <w:rPr>
          <w:rFonts w:hint="eastAsia" w:ascii="仿宋_GB2312" w:hAnsi="仿宋_GB2312" w:eastAsia="仿宋_GB2312" w:cs="仿宋_GB2312"/>
          <w:sz w:val="30"/>
          <w:szCs w:val="30"/>
          <w:u w:val="single"/>
        </w:rPr>
        <w:t>5 %</w:t>
      </w:r>
      <w:r>
        <w:rPr>
          <w:rFonts w:hint="eastAsia" w:ascii="仿宋_GB2312" w:hAnsi="仿宋_GB2312" w:eastAsia="仿宋_GB2312" w:cs="仿宋_GB2312"/>
          <w:sz w:val="30"/>
          <w:szCs w:val="30"/>
        </w:rPr>
        <w:t>的违约金；</w:t>
      </w:r>
    </w:p>
    <w:p w14:paraId="31BFADAA">
      <w:pPr>
        <w:keepNext w:val="0"/>
        <w:keepLines w:val="0"/>
        <w:pageBreakBefore w:val="0"/>
        <w:widowControl w:val="0"/>
        <w:kinsoku/>
        <w:wordWrap/>
        <w:overflowPunct/>
        <w:topLinePunct w:val="0"/>
        <w:autoSpaceDE/>
        <w:autoSpaceDN/>
        <w:bidi w:val="0"/>
        <w:adjustRightInd/>
        <w:snapToGrid/>
        <w:spacing w:line="54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（4）乙方货物经甲方送</w:t>
      </w:r>
      <w:r>
        <w:rPr>
          <w:rFonts w:hint="eastAsia" w:ascii="仿宋_GB2312" w:hAnsi="仿宋_GB2312" w:eastAsia="仿宋_GB2312" w:cs="仿宋_GB2312"/>
          <w:color w:val="auto"/>
          <w:sz w:val="30"/>
          <w:szCs w:val="30"/>
        </w:rPr>
        <w:t>交</w:t>
      </w:r>
      <w:r>
        <w:rPr>
          <w:rFonts w:hint="eastAsia" w:ascii="仿宋_GB2312" w:hAnsi="仿宋_GB2312" w:eastAsia="仿宋_GB2312" w:cs="仿宋_GB2312"/>
          <w:color w:val="auto"/>
          <w:sz w:val="30"/>
          <w:szCs w:val="30"/>
          <w:highlight w:val="none"/>
          <w:lang w:val="en-US" w:eastAsia="zh-CN"/>
        </w:rPr>
        <w:t>双方认可的</w:t>
      </w:r>
      <w:r>
        <w:rPr>
          <w:rFonts w:hint="eastAsia" w:ascii="仿宋_GB2312" w:hAnsi="仿宋_GB2312" w:eastAsia="仿宋_GB2312" w:cs="仿宋_GB2312"/>
          <w:sz w:val="30"/>
          <w:szCs w:val="30"/>
        </w:rPr>
        <w:t>具有法定资格条件的质量技术监督机构检测后，如检测结果认定货物质量不符合本合同规定标准的，则视为乙方没有按时交货而违约，乙方须在</w:t>
      </w:r>
      <w:r>
        <w:rPr>
          <w:rFonts w:hint="eastAsia" w:ascii="仿宋_GB2312" w:hAnsi="仿宋_GB2312" w:eastAsia="仿宋_GB2312" w:cs="仿宋_GB2312"/>
          <w:sz w:val="30"/>
          <w:szCs w:val="30"/>
          <w:u w:val="single"/>
        </w:rPr>
        <w:t>5</w:t>
      </w:r>
      <w:r>
        <w:rPr>
          <w:rFonts w:hint="eastAsia" w:ascii="仿宋_GB2312" w:hAnsi="仿宋_GB2312" w:eastAsia="仿宋_GB2312" w:cs="仿宋_GB2312"/>
          <w:sz w:val="30"/>
          <w:szCs w:val="30"/>
        </w:rPr>
        <w:t>天内无条件更换合格的货物，如逾期不能更换合格的货物，甲方有权终止本合同，乙方应另向甲方</w:t>
      </w:r>
      <w:r>
        <w:rPr>
          <w:rFonts w:hint="eastAsia" w:ascii="仿宋_GB2312" w:hAnsi="仿宋_GB2312" w:eastAsia="仿宋_GB2312" w:cs="仿宋_GB2312"/>
          <w:sz w:val="30"/>
          <w:szCs w:val="30"/>
          <w:lang w:val="en-US" w:eastAsia="zh-CN"/>
        </w:rPr>
        <w:t>逾期交货部分货款</w:t>
      </w:r>
      <w:r>
        <w:rPr>
          <w:rFonts w:hint="eastAsia" w:ascii="仿宋_GB2312" w:hAnsi="仿宋_GB2312" w:eastAsia="仿宋_GB2312" w:cs="仿宋_GB2312"/>
          <w:sz w:val="30"/>
          <w:szCs w:val="30"/>
        </w:rPr>
        <w:t xml:space="preserve">总额的 </w:t>
      </w:r>
      <w:r>
        <w:rPr>
          <w:rFonts w:hint="eastAsia" w:ascii="仿宋_GB2312" w:hAnsi="仿宋_GB2312" w:eastAsia="仿宋_GB2312" w:cs="仿宋_GB2312"/>
          <w:sz w:val="30"/>
          <w:szCs w:val="30"/>
          <w:u w:val="single"/>
        </w:rPr>
        <w:t>3 %</w:t>
      </w:r>
      <w:r>
        <w:rPr>
          <w:rFonts w:hint="eastAsia" w:ascii="仿宋_GB2312" w:hAnsi="仿宋_GB2312" w:eastAsia="仿宋_GB2312" w:cs="仿宋_GB2312"/>
          <w:sz w:val="30"/>
          <w:szCs w:val="30"/>
        </w:rPr>
        <w:t>的违约金；</w:t>
      </w:r>
    </w:p>
    <w:p w14:paraId="3CE8BF99">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（5）乙方未按本合同第十条的规定向甲方交付履约保证金的，应按应交付履约保证金的</w:t>
      </w:r>
      <w:r>
        <w:rPr>
          <w:rFonts w:hint="eastAsia" w:ascii="仿宋_GB2312" w:hAnsi="仿宋_GB2312" w:eastAsia="仿宋_GB2312" w:cs="仿宋_GB2312"/>
          <w:sz w:val="30"/>
          <w:szCs w:val="30"/>
          <w:u w:val="single"/>
        </w:rPr>
        <w:t xml:space="preserve"> 1 %</w:t>
      </w:r>
      <w:r>
        <w:rPr>
          <w:rFonts w:hint="eastAsia" w:ascii="仿宋_GB2312" w:hAnsi="仿宋_GB2312" w:eastAsia="仿宋_GB2312" w:cs="仿宋_GB2312"/>
          <w:sz w:val="30"/>
          <w:szCs w:val="30"/>
        </w:rPr>
        <w:t>向甲方支付违约金，该违约金的支付不影响乙方应承担的其他违约责任；</w:t>
      </w:r>
    </w:p>
    <w:p w14:paraId="79C8CDF9">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（6）乙方未按本合同的规定和“服务承诺”提供伴随服务/售后服务的，应按合同总价款的 </w:t>
      </w:r>
      <w:r>
        <w:rPr>
          <w:rFonts w:hint="eastAsia" w:ascii="仿宋_GB2312" w:hAnsi="仿宋_GB2312" w:eastAsia="仿宋_GB2312" w:cs="仿宋_GB2312"/>
          <w:sz w:val="30"/>
          <w:szCs w:val="30"/>
          <w:u w:val="single"/>
        </w:rPr>
        <w:t>2 %</w:t>
      </w:r>
      <w:r>
        <w:rPr>
          <w:rFonts w:hint="eastAsia" w:ascii="仿宋_GB2312" w:hAnsi="仿宋_GB2312" w:eastAsia="仿宋_GB2312" w:cs="仿宋_GB2312"/>
          <w:sz w:val="30"/>
          <w:szCs w:val="30"/>
        </w:rPr>
        <w:t>向甲方承担违约责任；</w:t>
      </w:r>
    </w:p>
    <w:p w14:paraId="4C58EE07">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（7）乙方在承担上述1-6款一项或多项违约责任后，仍应继续履行合同规定的义务（甲方解除合同的除外）。甲方未能及时追究乙方的任何一项违约责任</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并不表明甲方放弃追究乙方该项或其他违约责任；</w:t>
      </w:r>
    </w:p>
    <w:p w14:paraId="1B85806F">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（8）乙方偿付的违约金不足以弥补甲方损失的，还应按甲方损失尚未弥补的部分，支付赔偿金给甲方。</w:t>
      </w:r>
    </w:p>
    <w:p w14:paraId="428463D3">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（9）对供应的食品的质量、安全和卫生负全责，保证供应的食材质量达标、安全可靠、卫生清洁；按时提供每批次质量检验报告和相关资料；</w:t>
      </w:r>
    </w:p>
    <w:p w14:paraId="5EB8BB25">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（10）乙方有责任按照甲、乙双方有关食品安全突发事件应急预案快速处理，并依法承担相应责任；</w:t>
      </w:r>
    </w:p>
    <w:p w14:paraId="332583DB">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11）乙方有责任按合同的承诺按质按时配送食材，如有降低食材质量标准、延时、减量、服务态度恶劣、随意变更供应方案、严重缺失食材安全保障条件等情况，视为违约行为，将酌情进行处罚，罚金从乙方货款中直接扣除，情节严重的，甲方可以单方解除与乙方的合同，并追究法律责任；</w:t>
      </w:r>
    </w:p>
    <w:p w14:paraId="3C3C8AF7">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（12）对易破损食材的配送，乙方应考虑到运输破损给各校有一定的破损备用货物，并依据实际破损数量进行更换。</w:t>
      </w:r>
    </w:p>
    <w:p w14:paraId="11DF8189">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（13）乙方配送的食材因质量问题发生食品安全事故的，涉嫌犯罪的移送司法机关依法处理。</w:t>
      </w:r>
    </w:p>
    <w:p w14:paraId="0359126D">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（14）根据配送情况，甲方对乙方配送食材的质量、成分、单位含量、病菌、农药残留、添加剂含量进行的相关检测、检验检疫，</w:t>
      </w:r>
      <w:r>
        <w:rPr>
          <w:rFonts w:hint="eastAsia" w:ascii="仿宋_GB2312" w:hAnsi="仿宋_GB2312" w:eastAsia="仿宋_GB2312" w:cs="仿宋_GB2312"/>
          <w:sz w:val="30"/>
          <w:szCs w:val="30"/>
          <w:lang w:val="en-US" w:eastAsia="zh-CN"/>
        </w:rPr>
        <w:t>如经检测不合格且经乙方复验确认属实的，</w:t>
      </w:r>
      <w:r>
        <w:rPr>
          <w:rFonts w:hint="eastAsia" w:ascii="仿宋_GB2312" w:hAnsi="仿宋_GB2312" w:eastAsia="仿宋_GB2312" w:cs="仿宋_GB2312"/>
          <w:sz w:val="30"/>
          <w:szCs w:val="30"/>
        </w:rPr>
        <w:t>费用由乙方承担。</w:t>
      </w:r>
    </w:p>
    <w:p w14:paraId="4B02AB3C">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（15）甲方对乙方的资质审核、环境评审检测费用，由乙方承担。</w:t>
      </w:r>
    </w:p>
    <w:p w14:paraId="24305167">
      <w:pPr>
        <w:keepNext w:val="0"/>
        <w:keepLines w:val="0"/>
        <w:pageBreakBefore w:val="0"/>
        <w:widowControl w:val="0"/>
        <w:kinsoku/>
        <w:wordWrap/>
        <w:overflowPunct/>
        <w:topLinePunct w:val="0"/>
        <w:autoSpaceDE/>
        <w:autoSpaceDN/>
        <w:bidi w:val="0"/>
        <w:adjustRightInd/>
        <w:snapToGrid/>
        <w:spacing w:line="544"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十二、不可抗力</w:t>
      </w:r>
    </w:p>
    <w:p w14:paraId="226820C0">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090CB32A">
      <w:pPr>
        <w:keepNext w:val="0"/>
        <w:keepLines w:val="0"/>
        <w:pageBreakBefore w:val="0"/>
        <w:widowControl w:val="0"/>
        <w:kinsoku/>
        <w:wordWrap/>
        <w:overflowPunct/>
        <w:topLinePunct w:val="0"/>
        <w:autoSpaceDE/>
        <w:autoSpaceDN/>
        <w:bidi w:val="0"/>
        <w:adjustRightInd/>
        <w:snapToGrid/>
        <w:spacing w:line="544"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十三、争议解决</w:t>
      </w:r>
    </w:p>
    <w:p w14:paraId="00A79C1C">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双方本着友好合作的态度,对合同履行过程中发生的违约行为进行及时的协商解决,如不能协商解决可向甲方所在地人民法院诉讼解决。其它未尽事宜,由双方友好协商解决,并参照《中华人民共和国民法典》有关条款执行。</w:t>
      </w:r>
    </w:p>
    <w:p w14:paraId="69D5C627">
      <w:pPr>
        <w:keepNext w:val="0"/>
        <w:keepLines w:val="0"/>
        <w:pageBreakBefore w:val="0"/>
        <w:widowControl w:val="0"/>
        <w:kinsoku/>
        <w:wordWrap/>
        <w:overflowPunct/>
        <w:topLinePunct w:val="0"/>
        <w:autoSpaceDE/>
        <w:autoSpaceDN/>
        <w:bidi w:val="0"/>
        <w:adjustRightInd/>
        <w:snapToGrid/>
        <w:spacing w:line="544"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十四、监督和管理</w:t>
      </w:r>
    </w:p>
    <w:p w14:paraId="475E0730">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1、政府采购合同履行中，</w:t>
      </w:r>
      <w:r>
        <w:rPr>
          <w:rFonts w:hint="eastAsia" w:ascii="仿宋_GB2312" w:hAnsi="仿宋_GB2312" w:eastAsia="仿宋_GB2312" w:cs="仿宋_GB2312"/>
          <w:sz w:val="30"/>
          <w:szCs w:val="30"/>
          <w:lang w:eastAsia="zh-CN"/>
        </w:rPr>
        <w:t>甲方</w:t>
      </w:r>
      <w:r>
        <w:rPr>
          <w:rFonts w:hint="eastAsia" w:ascii="仿宋_GB2312" w:hAnsi="仿宋_GB2312" w:eastAsia="仿宋_GB2312" w:cs="仿宋_GB2312"/>
          <w:sz w:val="30"/>
          <w:szCs w:val="30"/>
        </w:rPr>
        <w:t>需追加与合同标的相同的货物、工程或者服务的，在不改变合同其他条款的前提下，可以与供应商协商签订补充合同，但所有补充合同的采购金额不得超过原合同采购金额的百分之十。</w:t>
      </w:r>
    </w:p>
    <w:p w14:paraId="25C14D0A">
      <w:pPr>
        <w:keepNext w:val="0"/>
        <w:keepLines w:val="0"/>
        <w:pageBreakBefore w:val="0"/>
        <w:widowControl w:val="0"/>
        <w:kinsoku/>
        <w:wordWrap/>
        <w:overflowPunct/>
        <w:topLinePunct w:val="0"/>
        <w:autoSpaceDE/>
        <w:autoSpaceDN/>
        <w:bidi w:val="0"/>
        <w:adjustRightInd/>
        <w:snapToGrid/>
        <w:spacing w:line="544"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2、甲乙双方均应自觉配合有关监督管理部门对合同履行情况的监督检查，如实反映情况，提供有关资料；否则，将对有关单位、当事人按照有关规定予以处罚。</w:t>
      </w:r>
    </w:p>
    <w:p w14:paraId="2ACD4F4D">
      <w:pPr>
        <w:keepNext w:val="0"/>
        <w:keepLines w:val="0"/>
        <w:pageBreakBefore w:val="0"/>
        <w:widowControl w:val="0"/>
        <w:kinsoku/>
        <w:wordWrap/>
        <w:overflowPunct/>
        <w:topLinePunct w:val="0"/>
        <w:autoSpaceDE/>
        <w:autoSpaceDN/>
        <w:bidi w:val="0"/>
        <w:adjustRightInd/>
        <w:snapToGrid/>
        <w:spacing w:line="538" w:lineRule="exact"/>
        <w:ind w:firstLine="602" w:firstLineChars="20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十五、无效合同</w:t>
      </w:r>
    </w:p>
    <w:p w14:paraId="3620BECD">
      <w:pPr>
        <w:keepNext w:val="0"/>
        <w:keepLines w:val="0"/>
        <w:pageBreakBefore w:val="0"/>
        <w:widowControl w:val="0"/>
        <w:kinsoku/>
        <w:wordWrap/>
        <w:overflowPunct/>
        <w:topLinePunct w:val="0"/>
        <w:autoSpaceDE/>
        <w:autoSpaceDN/>
        <w:bidi w:val="0"/>
        <w:adjustRightInd/>
        <w:snapToGrid/>
        <w:spacing w:line="53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1、甲乙双方如因违反政府采购法及相关法律法规的规定，被宣告合同无效的，一切责任概由过错方自行承担。</w:t>
      </w:r>
    </w:p>
    <w:p w14:paraId="30ED3358">
      <w:pPr>
        <w:keepNext w:val="0"/>
        <w:keepLines w:val="0"/>
        <w:pageBreakBefore w:val="0"/>
        <w:widowControl w:val="0"/>
        <w:kinsoku/>
        <w:wordWrap/>
        <w:overflowPunct/>
        <w:topLinePunct w:val="0"/>
        <w:autoSpaceDE/>
        <w:autoSpaceDN/>
        <w:bidi w:val="0"/>
        <w:adjustRightInd/>
        <w:snapToGrid/>
        <w:spacing w:line="53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2、因客观原因未进行下年度采购招标的情况下，为了不影响营养改善计划的正常实施，乙方在合同签订的供货配送时间段内没有发生任何事故，可由乙方按照合同所签标准延续配送。</w:t>
      </w:r>
    </w:p>
    <w:p w14:paraId="3E1E6CB4">
      <w:pPr>
        <w:keepNext w:val="0"/>
        <w:keepLines w:val="0"/>
        <w:pageBreakBefore w:val="0"/>
        <w:widowControl w:val="0"/>
        <w:kinsoku/>
        <w:wordWrap/>
        <w:overflowPunct/>
        <w:topLinePunct w:val="0"/>
        <w:autoSpaceDE/>
        <w:autoSpaceDN/>
        <w:bidi w:val="0"/>
        <w:adjustRightInd/>
        <w:snapToGrid/>
        <w:spacing w:line="538"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3、本合同一式</w:t>
      </w:r>
      <w:r>
        <w:rPr>
          <w:rFonts w:hint="eastAsia" w:ascii="仿宋_GB2312" w:hAnsi="仿宋_GB2312" w:eastAsia="仿宋_GB2312" w:cs="仿宋_GB2312"/>
          <w:sz w:val="30"/>
          <w:szCs w:val="30"/>
          <w:u w:val="single"/>
        </w:rPr>
        <w:t>六</w:t>
      </w:r>
      <w:r>
        <w:rPr>
          <w:rFonts w:hint="eastAsia" w:ascii="仿宋_GB2312" w:hAnsi="仿宋_GB2312" w:eastAsia="仿宋_GB2312" w:cs="仿宋_GB2312"/>
          <w:sz w:val="30"/>
          <w:szCs w:val="30"/>
        </w:rPr>
        <w:t>份，具有同等法律效力，甲乙双方各执</w:t>
      </w:r>
      <w:r>
        <w:rPr>
          <w:rFonts w:hint="eastAsia" w:ascii="仿宋_GB2312" w:hAnsi="仿宋_GB2312" w:eastAsia="仿宋_GB2312" w:cs="仿宋_GB2312"/>
          <w:sz w:val="30"/>
          <w:szCs w:val="30"/>
          <w:u w:val="single"/>
        </w:rPr>
        <w:t>两</w:t>
      </w:r>
      <w:r>
        <w:rPr>
          <w:rFonts w:hint="eastAsia" w:ascii="仿宋_GB2312" w:hAnsi="仿宋_GB2312" w:eastAsia="仿宋_GB2312" w:cs="仿宋_GB2312"/>
          <w:sz w:val="30"/>
          <w:szCs w:val="30"/>
        </w:rPr>
        <w:t>份，采购中心</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一</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份，采购管理股</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一</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份。</w:t>
      </w:r>
    </w:p>
    <w:p w14:paraId="53C085C4">
      <w:pPr>
        <w:keepNext w:val="0"/>
        <w:keepLines w:val="0"/>
        <w:pageBreakBefore w:val="0"/>
        <w:widowControl w:val="0"/>
        <w:kinsoku/>
        <w:wordWrap/>
        <w:overflowPunct/>
        <w:topLinePunct w:val="0"/>
        <w:autoSpaceDE/>
        <w:autoSpaceDN/>
        <w:bidi w:val="0"/>
        <w:adjustRightInd/>
        <w:snapToGrid/>
        <w:spacing w:line="550" w:lineRule="exact"/>
        <w:ind w:firstLine="600" w:firstLineChars="200"/>
        <w:textAlignment w:val="auto"/>
        <w:rPr>
          <w:rFonts w:hint="eastAsia" w:ascii="仿宋_GB2312" w:hAnsi="仿宋_GB2312" w:eastAsia="仿宋_GB2312" w:cs="仿宋_GB2312"/>
          <w:sz w:val="30"/>
          <w:szCs w:val="30"/>
        </w:rPr>
      </w:pPr>
    </w:p>
    <w:p w14:paraId="424ECDDE">
      <w:pPr>
        <w:pStyle w:val="3"/>
        <w:keepNext/>
        <w:keepLines/>
        <w:pageBreakBefore w:val="0"/>
        <w:widowControl w:val="0"/>
        <w:kinsoku/>
        <w:wordWrap/>
        <w:overflowPunct/>
        <w:topLinePunct w:val="0"/>
        <w:autoSpaceDE/>
        <w:autoSpaceDN/>
        <w:bidi w:val="0"/>
        <w:adjustRightInd/>
        <w:snapToGrid/>
        <w:spacing w:line="350" w:lineRule="exact"/>
        <w:textAlignment w:val="auto"/>
        <w:rPr>
          <w:rFonts w:hint="eastAsia"/>
        </w:rPr>
      </w:pPr>
    </w:p>
    <w:tbl>
      <w:tblPr>
        <w:tblStyle w:val="9"/>
        <w:tblW w:w="92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41"/>
        <w:gridCol w:w="2599"/>
        <w:gridCol w:w="1743"/>
        <w:gridCol w:w="3115"/>
      </w:tblGrid>
      <w:tr w14:paraId="722E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6" w:hRule="atLeast"/>
        </w:trPr>
        <w:tc>
          <w:tcPr>
            <w:tcW w:w="1841" w:type="dxa"/>
            <w:tcBorders>
              <w:tl2br w:val="nil"/>
              <w:tr2bl w:val="nil"/>
            </w:tcBorders>
            <w:noWrap w:val="0"/>
            <w:vAlign w:val="center"/>
          </w:tcPr>
          <w:p w14:paraId="552FF184">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甲方：</w:t>
            </w:r>
          </w:p>
        </w:tc>
        <w:tc>
          <w:tcPr>
            <w:tcW w:w="2599" w:type="dxa"/>
            <w:tcBorders>
              <w:tl2br w:val="nil"/>
              <w:tr2bl w:val="nil"/>
            </w:tcBorders>
            <w:noWrap w:val="0"/>
            <w:vAlign w:val="center"/>
          </w:tcPr>
          <w:p w14:paraId="59E7ABC2">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三原县教育局</w:t>
            </w:r>
          </w:p>
          <w:p w14:paraId="5F901C07">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 xml:space="preserve">（盖章） </w:t>
            </w:r>
          </w:p>
        </w:tc>
        <w:tc>
          <w:tcPr>
            <w:tcW w:w="1743" w:type="dxa"/>
            <w:tcBorders>
              <w:tl2br w:val="nil"/>
              <w:tr2bl w:val="nil"/>
            </w:tcBorders>
            <w:noWrap w:val="0"/>
            <w:vAlign w:val="center"/>
          </w:tcPr>
          <w:p w14:paraId="0F814BAA">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乙方：</w:t>
            </w:r>
          </w:p>
        </w:tc>
        <w:tc>
          <w:tcPr>
            <w:tcW w:w="3115" w:type="dxa"/>
            <w:tcBorders>
              <w:tl2br w:val="nil"/>
              <w:tr2bl w:val="nil"/>
            </w:tcBorders>
            <w:noWrap w:val="0"/>
            <w:vAlign w:val="top"/>
          </w:tcPr>
          <w:p w14:paraId="07CF718C">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eastAsia" w:ascii="仿宋_GB2312" w:hAnsi="仿宋_GB2312" w:eastAsia="仿宋_GB2312" w:cs="仿宋_GB2312"/>
                <w:color w:val="000000"/>
                <w:sz w:val="30"/>
                <w:szCs w:val="30"/>
                <w:vertAlign w:val="baseline"/>
                <w:lang w:eastAsia="zh-CN"/>
              </w:rPr>
            </w:pPr>
          </w:p>
        </w:tc>
      </w:tr>
      <w:tr w14:paraId="42C22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2" w:hRule="atLeast"/>
        </w:trPr>
        <w:tc>
          <w:tcPr>
            <w:tcW w:w="1841" w:type="dxa"/>
            <w:tcBorders>
              <w:tl2br w:val="nil"/>
              <w:tr2bl w:val="nil"/>
            </w:tcBorders>
            <w:noWrap w:val="0"/>
            <w:vAlign w:val="center"/>
          </w:tcPr>
          <w:p w14:paraId="351A60DC">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法定代表人/授权代表：</w:t>
            </w:r>
          </w:p>
        </w:tc>
        <w:tc>
          <w:tcPr>
            <w:tcW w:w="2599" w:type="dxa"/>
            <w:tcBorders>
              <w:tl2br w:val="nil"/>
              <w:tr2bl w:val="nil"/>
            </w:tcBorders>
            <w:noWrap w:val="0"/>
            <w:vAlign w:val="center"/>
          </w:tcPr>
          <w:p w14:paraId="1BF717B6">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eastAsia" w:ascii="仿宋_GB2312" w:hAnsi="仿宋_GB2312" w:eastAsia="仿宋_GB2312" w:cs="仿宋_GB2312"/>
                <w:color w:val="000000"/>
                <w:sz w:val="30"/>
                <w:szCs w:val="30"/>
                <w:vertAlign w:val="baseline"/>
              </w:rPr>
            </w:pPr>
          </w:p>
        </w:tc>
        <w:tc>
          <w:tcPr>
            <w:tcW w:w="1743" w:type="dxa"/>
            <w:tcBorders>
              <w:tl2br w:val="nil"/>
              <w:tr2bl w:val="nil"/>
            </w:tcBorders>
            <w:noWrap w:val="0"/>
            <w:vAlign w:val="center"/>
          </w:tcPr>
          <w:p w14:paraId="18122B0C">
            <w:pPr>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法定代表人/授权代表：</w:t>
            </w:r>
          </w:p>
        </w:tc>
        <w:tc>
          <w:tcPr>
            <w:tcW w:w="3115" w:type="dxa"/>
            <w:tcBorders>
              <w:tl2br w:val="nil"/>
              <w:tr2bl w:val="nil"/>
            </w:tcBorders>
            <w:noWrap w:val="0"/>
            <w:vAlign w:val="top"/>
          </w:tcPr>
          <w:p w14:paraId="5F1E4D99">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r>
      <w:tr w14:paraId="50646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trPr>
        <w:tc>
          <w:tcPr>
            <w:tcW w:w="1841" w:type="dxa"/>
            <w:tcBorders>
              <w:tl2br w:val="nil"/>
              <w:tr2bl w:val="nil"/>
            </w:tcBorders>
            <w:noWrap w:val="0"/>
            <w:vAlign w:val="top"/>
          </w:tcPr>
          <w:p w14:paraId="0464E955">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地    址：</w:t>
            </w:r>
          </w:p>
        </w:tc>
        <w:tc>
          <w:tcPr>
            <w:tcW w:w="2599" w:type="dxa"/>
            <w:tcBorders>
              <w:tl2br w:val="nil"/>
              <w:tr2bl w:val="nil"/>
            </w:tcBorders>
            <w:noWrap w:val="0"/>
            <w:vAlign w:val="top"/>
          </w:tcPr>
          <w:p w14:paraId="5D16E637">
            <w:pPr>
              <w:keepNext w:val="0"/>
              <w:keepLines w:val="0"/>
              <w:pageBreakBefore w:val="0"/>
              <w:widowControl w:val="0"/>
              <w:kinsoku/>
              <w:wordWrap/>
              <w:overflowPunct/>
              <w:topLinePunct w:val="0"/>
              <w:autoSpaceDE/>
              <w:autoSpaceDN/>
              <w:bidi w:val="0"/>
              <w:adjustRightInd w:val="0"/>
              <w:snapToGrid w:val="0"/>
              <w:spacing w:line="540" w:lineRule="exact"/>
              <w:jc w:val="center"/>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三原县</w:t>
            </w:r>
            <w:r>
              <w:rPr>
                <w:rFonts w:hint="eastAsia" w:ascii="仿宋_GB2312" w:hAnsi="仿宋_GB2312" w:eastAsia="仿宋_GB2312" w:cs="仿宋_GB2312"/>
                <w:color w:val="000000"/>
                <w:sz w:val="30"/>
                <w:szCs w:val="30"/>
                <w:lang w:val="en-US" w:eastAsia="zh-CN"/>
              </w:rPr>
              <w:t>城关镇</w:t>
            </w:r>
            <w:r>
              <w:rPr>
                <w:rFonts w:hint="eastAsia" w:ascii="仿宋_GB2312" w:hAnsi="仿宋_GB2312" w:eastAsia="仿宋_GB2312" w:cs="仿宋_GB2312"/>
                <w:color w:val="000000"/>
                <w:sz w:val="30"/>
                <w:szCs w:val="30"/>
              </w:rPr>
              <w:t>秦桐街</w:t>
            </w:r>
          </w:p>
        </w:tc>
        <w:tc>
          <w:tcPr>
            <w:tcW w:w="1743" w:type="dxa"/>
            <w:tcBorders>
              <w:tl2br w:val="nil"/>
              <w:tr2bl w:val="nil"/>
            </w:tcBorders>
            <w:noWrap w:val="0"/>
            <w:vAlign w:val="top"/>
          </w:tcPr>
          <w:p w14:paraId="2C2EC924">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地    址：</w:t>
            </w:r>
          </w:p>
        </w:tc>
        <w:tc>
          <w:tcPr>
            <w:tcW w:w="3115" w:type="dxa"/>
            <w:tcBorders>
              <w:tl2br w:val="nil"/>
              <w:tr2bl w:val="nil"/>
            </w:tcBorders>
            <w:noWrap w:val="0"/>
            <w:vAlign w:val="top"/>
          </w:tcPr>
          <w:p w14:paraId="01672E42">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r>
      <w:tr w14:paraId="56DC2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841" w:type="dxa"/>
            <w:tcBorders>
              <w:tl2br w:val="nil"/>
              <w:tr2bl w:val="nil"/>
            </w:tcBorders>
            <w:noWrap w:val="0"/>
            <w:vAlign w:val="top"/>
          </w:tcPr>
          <w:p w14:paraId="5459A1FE">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开户银行：</w:t>
            </w:r>
          </w:p>
        </w:tc>
        <w:tc>
          <w:tcPr>
            <w:tcW w:w="2599" w:type="dxa"/>
            <w:tcBorders>
              <w:tl2br w:val="nil"/>
              <w:tr2bl w:val="nil"/>
            </w:tcBorders>
            <w:noWrap w:val="0"/>
            <w:vAlign w:val="top"/>
          </w:tcPr>
          <w:p w14:paraId="5CAFDA87">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c>
          <w:tcPr>
            <w:tcW w:w="1743" w:type="dxa"/>
            <w:tcBorders>
              <w:tl2br w:val="nil"/>
              <w:tr2bl w:val="nil"/>
            </w:tcBorders>
            <w:noWrap w:val="0"/>
            <w:vAlign w:val="top"/>
          </w:tcPr>
          <w:p w14:paraId="3C55F647">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开户银行：</w:t>
            </w:r>
          </w:p>
        </w:tc>
        <w:tc>
          <w:tcPr>
            <w:tcW w:w="3115" w:type="dxa"/>
            <w:tcBorders>
              <w:tl2br w:val="nil"/>
              <w:tr2bl w:val="nil"/>
            </w:tcBorders>
            <w:noWrap w:val="0"/>
            <w:vAlign w:val="top"/>
          </w:tcPr>
          <w:p w14:paraId="4F8F239B">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r>
      <w:tr w14:paraId="5A6DA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841" w:type="dxa"/>
            <w:tcBorders>
              <w:tl2br w:val="nil"/>
              <w:tr2bl w:val="nil"/>
            </w:tcBorders>
            <w:noWrap w:val="0"/>
            <w:vAlign w:val="top"/>
          </w:tcPr>
          <w:p w14:paraId="7D7A3918">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账    号：</w:t>
            </w:r>
          </w:p>
        </w:tc>
        <w:tc>
          <w:tcPr>
            <w:tcW w:w="2599" w:type="dxa"/>
            <w:tcBorders>
              <w:tl2br w:val="nil"/>
              <w:tr2bl w:val="nil"/>
            </w:tcBorders>
            <w:noWrap w:val="0"/>
            <w:vAlign w:val="top"/>
          </w:tcPr>
          <w:p w14:paraId="6172EDBF">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c>
          <w:tcPr>
            <w:tcW w:w="1743" w:type="dxa"/>
            <w:tcBorders>
              <w:tl2br w:val="nil"/>
              <w:tr2bl w:val="nil"/>
            </w:tcBorders>
            <w:noWrap w:val="0"/>
            <w:vAlign w:val="top"/>
          </w:tcPr>
          <w:p w14:paraId="383D4226">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账    号：</w:t>
            </w:r>
          </w:p>
        </w:tc>
        <w:tc>
          <w:tcPr>
            <w:tcW w:w="3115" w:type="dxa"/>
            <w:tcBorders>
              <w:tl2br w:val="nil"/>
              <w:tr2bl w:val="nil"/>
            </w:tcBorders>
            <w:noWrap w:val="0"/>
            <w:vAlign w:val="top"/>
          </w:tcPr>
          <w:p w14:paraId="52620AF4">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r>
      <w:tr w14:paraId="77D51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841" w:type="dxa"/>
            <w:tcBorders>
              <w:tl2br w:val="nil"/>
              <w:tr2bl w:val="nil"/>
            </w:tcBorders>
            <w:noWrap w:val="0"/>
            <w:vAlign w:val="top"/>
          </w:tcPr>
          <w:p w14:paraId="652F5883">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电    话：</w:t>
            </w:r>
          </w:p>
        </w:tc>
        <w:tc>
          <w:tcPr>
            <w:tcW w:w="2599" w:type="dxa"/>
            <w:tcBorders>
              <w:tl2br w:val="nil"/>
              <w:tr2bl w:val="nil"/>
            </w:tcBorders>
            <w:noWrap w:val="0"/>
            <w:vAlign w:val="top"/>
          </w:tcPr>
          <w:p w14:paraId="3886E7D0">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029-32282130</w:t>
            </w:r>
          </w:p>
        </w:tc>
        <w:tc>
          <w:tcPr>
            <w:tcW w:w="1743" w:type="dxa"/>
            <w:tcBorders>
              <w:tl2br w:val="nil"/>
              <w:tr2bl w:val="nil"/>
            </w:tcBorders>
            <w:noWrap w:val="0"/>
            <w:vAlign w:val="top"/>
          </w:tcPr>
          <w:p w14:paraId="559E6CBC">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电    话：</w:t>
            </w:r>
          </w:p>
        </w:tc>
        <w:tc>
          <w:tcPr>
            <w:tcW w:w="3115" w:type="dxa"/>
            <w:tcBorders>
              <w:tl2br w:val="nil"/>
              <w:tr2bl w:val="nil"/>
            </w:tcBorders>
            <w:noWrap w:val="0"/>
            <w:vAlign w:val="top"/>
          </w:tcPr>
          <w:p w14:paraId="30E06C97">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r>
      <w:tr w14:paraId="4C38C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841" w:type="dxa"/>
            <w:tcBorders>
              <w:tl2br w:val="nil"/>
              <w:tr2bl w:val="nil"/>
            </w:tcBorders>
            <w:noWrap w:val="0"/>
            <w:vAlign w:val="top"/>
          </w:tcPr>
          <w:p w14:paraId="146110B8">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传    真：</w:t>
            </w:r>
          </w:p>
        </w:tc>
        <w:tc>
          <w:tcPr>
            <w:tcW w:w="2599" w:type="dxa"/>
            <w:tcBorders>
              <w:tl2br w:val="nil"/>
              <w:tr2bl w:val="nil"/>
            </w:tcBorders>
            <w:noWrap w:val="0"/>
            <w:vAlign w:val="top"/>
          </w:tcPr>
          <w:p w14:paraId="51C21568">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029-32282130</w:t>
            </w:r>
          </w:p>
        </w:tc>
        <w:tc>
          <w:tcPr>
            <w:tcW w:w="1743" w:type="dxa"/>
            <w:tcBorders>
              <w:tl2br w:val="nil"/>
              <w:tr2bl w:val="nil"/>
            </w:tcBorders>
            <w:noWrap w:val="0"/>
            <w:vAlign w:val="top"/>
          </w:tcPr>
          <w:p w14:paraId="642B7570">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传    真：</w:t>
            </w:r>
          </w:p>
        </w:tc>
        <w:tc>
          <w:tcPr>
            <w:tcW w:w="3115" w:type="dxa"/>
            <w:tcBorders>
              <w:tl2br w:val="nil"/>
              <w:tr2bl w:val="nil"/>
            </w:tcBorders>
            <w:noWrap w:val="0"/>
            <w:vAlign w:val="top"/>
          </w:tcPr>
          <w:p w14:paraId="6AFAD470">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eastAsia" w:ascii="仿宋_GB2312" w:hAnsi="仿宋_GB2312" w:eastAsia="仿宋_GB2312" w:cs="仿宋_GB2312"/>
                <w:color w:val="000000"/>
                <w:sz w:val="30"/>
                <w:szCs w:val="30"/>
                <w:vertAlign w:val="baseline"/>
              </w:rPr>
            </w:pPr>
          </w:p>
        </w:tc>
      </w:tr>
      <w:tr w14:paraId="37ADC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841" w:type="dxa"/>
            <w:tcBorders>
              <w:tl2br w:val="nil"/>
              <w:tr2bl w:val="nil"/>
            </w:tcBorders>
            <w:noWrap w:val="0"/>
            <w:vAlign w:val="top"/>
          </w:tcPr>
          <w:p w14:paraId="77F3CC92">
            <w:pPr>
              <w:keepNext w:val="0"/>
              <w:keepLines w:val="0"/>
              <w:pageBreakBefore w:val="0"/>
              <w:kinsoku/>
              <w:wordWrap/>
              <w:overflowPunct/>
              <w:topLinePunct w:val="0"/>
              <w:autoSpaceDE/>
              <w:autoSpaceDN/>
              <w:bidi w:val="0"/>
              <w:adjustRightInd w:val="0"/>
              <w:snapToGrid w:val="0"/>
              <w:spacing w:line="360" w:lineRule="auto"/>
              <w:jc w:val="left"/>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签约日期：</w:t>
            </w:r>
          </w:p>
        </w:tc>
        <w:tc>
          <w:tcPr>
            <w:tcW w:w="2599" w:type="dxa"/>
            <w:tcBorders>
              <w:tl2br w:val="nil"/>
              <w:tr2bl w:val="nil"/>
            </w:tcBorders>
            <w:noWrap w:val="0"/>
            <w:vAlign w:val="top"/>
          </w:tcPr>
          <w:p w14:paraId="099B7237">
            <w:pPr>
              <w:keepNext w:val="0"/>
              <w:keepLines w:val="0"/>
              <w:pageBreakBefore w:val="0"/>
              <w:kinsoku/>
              <w:wordWrap/>
              <w:overflowPunct/>
              <w:topLinePunct w:val="0"/>
              <w:autoSpaceDE/>
              <w:autoSpaceDN/>
              <w:bidi w:val="0"/>
              <w:adjustRightInd w:val="0"/>
              <w:snapToGrid w:val="0"/>
              <w:spacing w:line="360" w:lineRule="auto"/>
              <w:jc w:val="left"/>
              <w:rPr>
                <w:rFonts w:hint="eastAsia" w:ascii="仿宋_GB2312" w:hAnsi="仿宋_GB2312" w:eastAsia="仿宋_GB2312" w:cs="仿宋_GB2312"/>
                <w:color w:val="000000"/>
                <w:sz w:val="30"/>
                <w:szCs w:val="30"/>
                <w:vertAlign w:val="baseline"/>
              </w:rPr>
            </w:pPr>
            <w:r>
              <w:rPr>
                <w:rFonts w:hint="eastAsia" w:ascii="仿宋_GB2312" w:hAnsi="仿宋_GB2312" w:eastAsia="仿宋_GB2312" w:cs="仿宋_GB2312"/>
                <w:color w:val="000000"/>
                <w:sz w:val="30"/>
                <w:szCs w:val="30"/>
              </w:rPr>
              <w:t xml:space="preserve"> </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年   月</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 xml:space="preserve">  日</w:t>
            </w:r>
          </w:p>
        </w:tc>
        <w:tc>
          <w:tcPr>
            <w:tcW w:w="1743" w:type="dxa"/>
            <w:tcBorders>
              <w:tl2br w:val="nil"/>
              <w:tr2bl w:val="nil"/>
            </w:tcBorders>
            <w:noWrap w:val="0"/>
            <w:vAlign w:val="top"/>
          </w:tcPr>
          <w:p w14:paraId="1C13C774">
            <w:pPr>
              <w:keepNext w:val="0"/>
              <w:keepLines w:val="0"/>
              <w:pageBreakBefore w:val="0"/>
              <w:kinsoku/>
              <w:wordWrap/>
              <w:overflowPunct/>
              <w:topLinePunct w:val="0"/>
              <w:autoSpaceDE/>
              <w:autoSpaceDN/>
              <w:bidi w:val="0"/>
              <w:adjustRightInd w:val="0"/>
              <w:snapToGrid w:val="0"/>
              <w:spacing w:line="360" w:lineRule="auto"/>
              <w:jc w:val="left"/>
              <w:rPr>
                <w:rFonts w:hint="eastAsia" w:ascii="仿宋_GB2312" w:hAnsi="仿宋_GB2312" w:eastAsia="仿宋_GB2312" w:cs="仿宋_GB2312"/>
                <w:color w:val="000000"/>
                <w:kern w:val="2"/>
                <w:sz w:val="30"/>
                <w:szCs w:val="30"/>
                <w:vertAlign w:val="baseline"/>
                <w:lang w:val="en-US" w:eastAsia="zh-CN" w:bidi="ar-SA"/>
              </w:rPr>
            </w:pPr>
            <w:r>
              <w:rPr>
                <w:rFonts w:hint="eastAsia" w:ascii="仿宋_GB2312" w:hAnsi="仿宋_GB2312" w:eastAsia="仿宋_GB2312" w:cs="仿宋_GB2312"/>
                <w:color w:val="000000"/>
                <w:sz w:val="30"/>
                <w:szCs w:val="30"/>
              </w:rPr>
              <w:t>签约日期：</w:t>
            </w:r>
          </w:p>
        </w:tc>
        <w:tc>
          <w:tcPr>
            <w:tcW w:w="3115" w:type="dxa"/>
            <w:tcBorders>
              <w:tl2br w:val="nil"/>
              <w:tr2bl w:val="nil"/>
            </w:tcBorders>
            <w:noWrap w:val="0"/>
            <w:vAlign w:val="top"/>
          </w:tcPr>
          <w:p w14:paraId="274CCC1A">
            <w:pPr>
              <w:keepNext w:val="0"/>
              <w:keepLines w:val="0"/>
              <w:pageBreakBefore w:val="0"/>
              <w:kinsoku/>
              <w:wordWrap/>
              <w:overflowPunct/>
              <w:topLinePunct w:val="0"/>
              <w:autoSpaceDE/>
              <w:autoSpaceDN/>
              <w:bidi w:val="0"/>
              <w:adjustRightInd w:val="0"/>
              <w:snapToGrid w:val="0"/>
              <w:spacing w:line="360" w:lineRule="auto"/>
              <w:jc w:val="left"/>
              <w:rPr>
                <w:rFonts w:hint="eastAsia" w:ascii="仿宋_GB2312" w:hAnsi="仿宋_GB2312" w:eastAsia="仿宋_GB2312" w:cs="仿宋_GB2312"/>
                <w:color w:val="000000"/>
                <w:kern w:val="2"/>
                <w:sz w:val="30"/>
                <w:szCs w:val="30"/>
                <w:vertAlign w:val="baseline"/>
                <w:lang w:val="en-US" w:eastAsia="zh-CN" w:bidi="ar-SA"/>
              </w:rPr>
            </w:pPr>
            <w:r>
              <w:rPr>
                <w:rFonts w:hint="eastAsia" w:ascii="仿宋_GB2312" w:hAnsi="仿宋_GB2312" w:eastAsia="仿宋_GB2312" w:cs="仿宋_GB2312"/>
                <w:color w:val="000000"/>
                <w:sz w:val="30"/>
                <w:szCs w:val="30"/>
              </w:rPr>
              <w:t xml:space="preserve"> </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年   月</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 xml:space="preserve">  日</w:t>
            </w:r>
          </w:p>
        </w:tc>
      </w:tr>
    </w:tbl>
    <w:p w14:paraId="6F829CE0">
      <w:pPr>
        <w:pStyle w:val="3"/>
        <w:keepNext/>
        <w:keepLines/>
        <w:pageBreakBefore w:val="0"/>
        <w:widowControl w:val="0"/>
        <w:kinsoku/>
        <w:wordWrap/>
        <w:overflowPunct/>
        <w:topLinePunct w:val="0"/>
        <w:autoSpaceDE/>
        <w:autoSpaceDN/>
        <w:bidi w:val="0"/>
        <w:adjustRightInd/>
        <w:snapToGrid/>
        <w:spacing w:before="0" w:after="0" w:line="20" w:lineRule="exact"/>
        <w:textAlignment w:val="auto"/>
        <w:rPr>
          <w:rFonts w:hint="eastAsia"/>
        </w:rPr>
      </w:pPr>
    </w:p>
    <w:p w14:paraId="73CC8DB0">
      <w:pPr>
        <w:pStyle w:val="2"/>
      </w:pPr>
      <w:bookmarkStart w:id="0" w:name="_GoBack"/>
      <w:bookmarkEnd w:id="0"/>
    </w:p>
    <w:sectPr>
      <w:footerReference r:id="rId4" w:type="default"/>
      <w:pgSz w:w="11905" w:h="16838" w:orient="landscape"/>
      <w:pgMar w:top="1440" w:right="1803" w:bottom="1440" w:left="1803" w:header="851" w:footer="992" w:gutter="0"/>
      <w:pgBorders>
        <w:top w:val="none" w:sz="0" w:space="0"/>
        <w:left w:val="none" w:sz="0" w:space="0"/>
        <w:bottom w:val="none" w:sz="0" w:space="0"/>
        <w:right w:val="none" w:sz="0" w:space="0"/>
      </w:pgBorders>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姚体">
    <w:altName w:val="宋体"/>
    <w:panose1 w:val="02010601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KSOF439EEF50">
    <w:panose1 w:val="02000000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A3FB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-142240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B7048F">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1.2pt;height:144pt;width:144pt;mso-position-horizontal:outside;mso-position-horizontal-relative:margin;mso-wrap-style:none;z-index:251659264;mso-width-relative:page;mso-height-relative:page;" filled="f" stroked="f" coordsize="21600,21600" o:gfxdata="UEsDBAoAAAAAAIdO4kAAAAAAAAAAAAAAAAAEAAAAZHJzL1BLAwQUAAAACACHTuJAmLc6BNYAAAAI&#10;AQAADwAAAGRycy9kb3ducmV2LnhtbE2PQU/DMAyF70j8h8hI3LZ0ZVRVaTqJiXJEYuXAMWtM261x&#10;qiTryr/HnOBm+z09f6/cLXYUM/owOFKwWScgkFpnBuoUfDT1KgcRoiajR0eo4BsD7Krbm1IXxl3p&#10;HedD7ASHUCi0gj7GqZAytD1aHdZuQmLty3mrI6++k8brK4fbUaZJkkmrB+IPvZ5w32N7Plysgn3d&#10;NH7G4MdPfK0fTm/PW3xZlLq/2yRPICIu8c8Mv/iMDhUzHd2FTBCjAi4SFazSdAuC5TTP+XLkIXvM&#10;QFal/F+g+gFQSwMEFAAAAAgAh07iQCSCRrQxAgAAYQQAAA4AAABkcnMvZTJvRG9jLnhtbK1US44T&#10;MRDdI3EHy3vSSRCjKEpnFCYKQoqYkQJi7bjdaUv+yXbSHQ4AN2DFhj3nyjl47k8GDSxmwcZddpVf&#10;+b2q6sVtoxU5CR+kNTmdjMaUCMNtIc0hp58+bl7NKAmRmYIpa0ROzyLQ2+XLF4vazcXUVlYVwhOA&#10;mDCvXU6rGN08ywKvhGZhZJ0wcJbWaxax9Yes8KwGulbZdDy+yWrrC+ctFyHgdN05aY/onwNoy1Jy&#10;sbb8qIWJHaoXikVQCpV0gS7b15al4PG+LIOIROUUTGO7IgnsfVqz5YLND565SvL+Cew5T3jCSTNp&#10;kPQKtWaRkaOXf0Fpyb0NtowjbnXWEWkVAYvJ+Ik2u4o50XKB1MFdRQ//D5Z/OD14IoucTikxTKPg&#10;l+/fLj9+XX5+JdMkT+3CHFE7h7jYvLUNmmY4DzhMrJvS6/QFHwI/xD1fxRVNJDxdmk1nszFcHL5h&#10;A/zs8brzIb4TVpNk5NSjeq2o7LQNsQsdQlI2YzdSqbaCypA6pzev34zbC1cPwJVBjkSie2yyYrNv&#10;emZ7W5xBzNuuM4LjG4nkWxbiA/NoBTwYwxLvsZTKIontLUoq67/86zzFo0LwUlKjtXJqMEmUqPcG&#10;lQNgHAw/GPvBMEd9Z9GrEwyh462JCz6qwSy91Z8xQauUAy5mODLlNA7mXezaGxPIxWrVBh2dl4eq&#10;u4C+cyxuzc7xlCYJGdzqGCFmq3ESqFOl1w2d11apn5LU2n/u26jHP8P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i3OgTWAAAACAEAAA8AAAAAAAAAAQAgAAAAIgAAAGRycy9kb3ducmV2LnhtbFBL&#10;AQIUABQAAAAIAIdO4kAkgka0MQIAAGEEAAAOAAAAAAAAAAEAIAAAACUBAABkcnMvZTJvRG9jLnht&#10;bFBLBQYAAAAABgAGAFkBAADIBQAAAAA=&#10;">
              <v:fill on="f" focussize="0,0"/>
              <v:stroke on="f" weight="0.5pt"/>
              <v:imagedata o:title=""/>
              <o:lock v:ext="edit" aspectratio="f"/>
              <v:textbox inset="0mm,0mm,0mm,0mm" style="mso-fit-shape-to-text:t;">
                <w:txbxContent>
                  <w:p w14:paraId="26B7048F">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477A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-142240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7EF28F">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1.2pt;height:144pt;width:144pt;mso-position-horizontal:outside;mso-position-horizontal-relative:margin;mso-wrap-style:none;z-index:251659264;mso-width-relative:page;mso-height-relative:page;" filled="f" stroked="f" coordsize="21600,21600" o:gfxdata="UEsDBAoAAAAAAIdO4kAAAAAAAAAAAAAAAAAEAAAAZHJzL1BLAwQUAAAACACHTuJAmLc6BNYAAAAI&#10;AQAADwAAAGRycy9kb3ducmV2LnhtbE2PQU/DMAyF70j8h8hI3LZ0ZVRVaTqJiXJEYuXAMWtM261x&#10;qiTryr/HnOBm+z09f6/cLXYUM/owOFKwWScgkFpnBuoUfDT1KgcRoiajR0eo4BsD7Krbm1IXxl3p&#10;HedD7ASHUCi0gj7GqZAytD1aHdZuQmLty3mrI6++k8brK4fbUaZJkkmrB+IPvZ5w32N7Plysgn3d&#10;NH7G4MdPfK0fTm/PW3xZlLq/2yRPICIu8c8Mv/iMDhUzHd2FTBCjAi4SFazSdAuC5TTP+XLkIXvM&#10;QFal/F+g+gFQSwMEFAAAAAgAh07iQL10G3Y3AgAAbwQAAA4AAABkcnMvZTJvRG9jLnhtbK1UzY7T&#10;MBC+I/EOlu80aRGrKmq6KlsVIVXsSgVxdh2nieQ/2W6T8gDwBpy4cOe5+hx8zk8XLRz2wMUZe8bf&#10;zPfNOIvbVklyEs7XRud0OkkpEZqbotaHnH76uHk1p8QHpgsmjRY5PQtPb5cvXywam4mZqYwshCMA&#10;0T5rbE6rEGyWJJ5XQjE/MVZoOEvjFAvYukNSONYAXclklqY3SWNcYZ3hwnucrnsnHRDdcwBNWdZc&#10;rA0/KqFDj+qEZAGUfFVbT5ddtWUpeLgvSy8CkTkF09CtSAJ7H9dkuWDZwTFb1XwogT2nhCecFKs1&#10;kl6h1iwwcnT1X1Cq5s54U4YJNyrpiXSKgMU0faLNrmJWdFwgtbdX0f3/g+UfTg+O1AUmgRLNFBp+&#10;+f7t8uPX5edXMo3yNNZniNpZxIX2rWlj6HDucRhZt6VT8Qs+BH6Ie76KK9pAeLw0n83nKVwcvnED&#10;nOTxunU+vBNGkWjk1KF7najstPWhDx1DYjZtNrWUOGeZ1KTJ6c3rN2l34eoBuNQxQHSzMMBESn3p&#10;0Qrtvh347E1xBk1n+jnxlm9qlLJlPjwwh8FA+Xg64R5LKQ1SmsGipDLuy7/OYzz6BS8lDQYtpxrv&#10;ihL5XqOPAAyj4UZjPxr6qO4MJhe9QS2diQsuyNEsnVGf8Z5WMQdcTHNkymkYzbvQDzveIxerVRd0&#10;tK4+VP0FTKFlYat3lsc0USpvV8cAaTvFo0C9KuhU3GAOu54NbyYO+p/7LurxP7H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i3OgTWAAAACAEAAA8AAAAAAAAAAQAgAAAAIgAAAGRycy9kb3ducmV2&#10;LnhtbFBLAQIUABQAAAAIAIdO4kC9dBt2NwIAAG8EAAAOAAAAAAAAAAEAIAAAACUBAABkcnMvZTJv&#10;RG9jLnhtbFBLBQYAAAAABgAGAFkBAADOBQAAAAA=&#10;">
              <v:fill on="f" focussize="0,0"/>
              <v:stroke on="f" weight="0.5pt"/>
              <v:imagedata o:title=""/>
              <o:lock v:ext="edit" aspectratio="f"/>
              <v:textbox inset="0mm,0mm,0mm,0mm" style="mso-fit-shape-to-text:t;">
                <w:txbxContent>
                  <w:p w14:paraId="117EF28F">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4"/>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bookFoldPrinting w:val="1"/>
  <w:bookFoldPrintingSheets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ZjBhYjUwZGJjMzljYzg3MDU1YmQxMmZjOWRjY2QifQ=="/>
  </w:docVars>
  <w:rsids>
    <w:rsidRoot w:val="0BFA7253"/>
    <w:rsid w:val="008953F8"/>
    <w:rsid w:val="00EE1FCE"/>
    <w:rsid w:val="019E783B"/>
    <w:rsid w:val="03EE3EEF"/>
    <w:rsid w:val="055A20C5"/>
    <w:rsid w:val="0747613C"/>
    <w:rsid w:val="0ACC43A4"/>
    <w:rsid w:val="0BFA7253"/>
    <w:rsid w:val="0D8A605F"/>
    <w:rsid w:val="0D957167"/>
    <w:rsid w:val="10A6277C"/>
    <w:rsid w:val="115832F0"/>
    <w:rsid w:val="11983356"/>
    <w:rsid w:val="12D44BF8"/>
    <w:rsid w:val="17622CA0"/>
    <w:rsid w:val="19CE0126"/>
    <w:rsid w:val="19DB0CDE"/>
    <w:rsid w:val="1C220723"/>
    <w:rsid w:val="24901150"/>
    <w:rsid w:val="253908EB"/>
    <w:rsid w:val="26BD5180"/>
    <w:rsid w:val="2EFA703A"/>
    <w:rsid w:val="2F562113"/>
    <w:rsid w:val="307D6477"/>
    <w:rsid w:val="320246E0"/>
    <w:rsid w:val="32E440A1"/>
    <w:rsid w:val="331817E2"/>
    <w:rsid w:val="333252F7"/>
    <w:rsid w:val="345968B4"/>
    <w:rsid w:val="3A322081"/>
    <w:rsid w:val="3AE8164C"/>
    <w:rsid w:val="3D914BC7"/>
    <w:rsid w:val="42CB6BCE"/>
    <w:rsid w:val="42FF4ACA"/>
    <w:rsid w:val="43D23F8D"/>
    <w:rsid w:val="49AA4384"/>
    <w:rsid w:val="4EE07EA5"/>
    <w:rsid w:val="4FD07261"/>
    <w:rsid w:val="4FE70635"/>
    <w:rsid w:val="52AD009F"/>
    <w:rsid w:val="53265400"/>
    <w:rsid w:val="54847787"/>
    <w:rsid w:val="57CE1F13"/>
    <w:rsid w:val="59642E27"/>
    <w:rsid w:val="5CB53E2A"/>
    <w:rsid w:val="5D683540"/>
    <w:rsid w:val="5EBB7FE7"/>
    <w:rsid w:val="65B03CD6"/>
    <w:rsid w:val="66AD1338"/>
    <w:rsid w:val="6995365A"/>
    <w:rsid w:val="69DA7573"/>
    <w:rsid w:val="6A9A31A7"/>
    <w:rsid w:val="6D8433BC"/>
    <w:rsid w:val="755D72AA"/>
    <w:rsid w:val="790133E4"/>
    <w:rsid w:val="79C97513"/>
    <w:rsid w:val="7A214D4A"/>
    <w:rsid w:val="7CD10CAA"/>
    <w:rsid w:val="7CE10F68"/>
    <w:rsid w:val="7E886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5">
    <w:name w:val="footer"/>
    <w:basedOn w:val="1"/>
    <w:autoRedefine/>
    <w:unhideWhenUsed/>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autoRedefine/>
    <w:qFormat/>
    <w:uiPriority w:val="39"/>
    <w:rPr>
      <w:sz w:val="21"/>
      <w:szCs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4932</Words>
  <Characters>5126</Characters>
  <Lines>0</Lines>
  <Paragraphs>0</Paragraphs>
  <TotalTime>0</TotalTime>
  <ScaleCrop>false</ScaleCrop>
  <LinksUpToDate>false</LinksUpToDate>
  <CharactersWithSpaces>5375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2024-01-25T08:34:00Z</dcterms:created>
  <dc:creator>王志斌</dc:creator>
  <cp:lastModifiedBy>admi</cp:lastModifiedBy>
  <dcterms:modified xsi:type="dcterms:W3CDTF">2026-01-11T11:43:50Z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773132907CE64599AA5B72CA20CB2FB1_13</vt:lpwstr>
  </property>
  <property fmtid="{D5CDD505-2E9C-101B-9397-08002B2CF9AE}" pid="4" name="KSOTemplateDocerSaveRecord">
    <vt:lpwstr>eyJoZGlkIjoiYzEwNDdjODlkODliOWZkNTJjN2NjNGJmNjkyYjgxOWYiLCJ1c2VySWQiOiIzNTgyNzg4MjIifQ==</vt:lpwstr>
  </property>
</Properties>
</file>